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90B73A" w14:textId="7BA83EFD" w:rsidR="00661556" w:rsidRDefault="00661556" w:rsidP="0028480A">
      <w:pPr>
        <w:ind w:left="720" w:hanging="360"/>
        <w:jc w:val="both"/>
        <w:rPr>
          <w:lang w:val="en-GB"/>
        </w:rPr>
      </w:pPr>
      <w:r w:rsidRPr="00661556">
        <w:rPr>
          <w:lang w:val="en-GB"/>
        </w:rPr>
        <w:t>POSITION PAPER</w:t>
      </w:r>
    </w:p>
    <w:p w14:paraId="6F06B638" w14:textId="03E6A36F" w:rsidR="00E46B17" w:rsidRPr="00661556" w:rsidRDefault="00B907AF" w:rsidP="0082213C">
      <w:pPr>
        <w:ind w:left="720" w:hanging="360"/>
        <w:jc w:val="right"/>
        <w:rPr>
          <w:lang w:val="en-GB"/>
        </w:rPr>
      </w:pPr>
      <w:r>
        <w:rPr>
          <w:lang w:val="en-GB"/>
        </w:rPr>
        <w:t>August</w:t>
      </w:r>
      <w:r w:rsidR="00E46B17">
        <w:rPr>
          <w:lang w:val="en-GB"/>
        </w:rPr>
        <w:t xml:space="preserve"> 2025</w:t>
      </w:r>
    </w:p>
    <w:p w14:paraId="2DEBADB4" w14:textId="2835C741" w:rsidR="007A22BF" w:rsidRDefault="00661556" w:rsidP="0082213C">
      <w:pPr>
        <w:pBdr>
          <w:top w:val="single" w:sz="4" w:space="1" w:color="auto"/>
          <w:left w:val="single" w:sz="4" w:space="4" w:color="auto"/>
          <w:bottom w:val="single" w:sz="4" w:space="1" w:color="auto"/>
          <w:right w:val="single" w:sz="4" w:space="4" w:color="auto"/>
        </w:pBdr>
        <w:ind w:left="720" w:hanging="360"/>
        <w:jc w:val="center"/>
        <w:rPr>
          <w:b/>
          <w:bCs/>
          <w:lang w:val="en-GB"/>
        </w:rPr>
      </w:pPr>
      <w:r>
        <w:rPr>
          <w:b/>
          <w:bCs/>
          <w:lang w:val="en-GB"/>
        </w:rPr>
        <w:t>Hospitality in the</w:t>
      </w:r>
      <w:r w:rsidR="007A22BF" w:rsidRPr="00170D47">
        <w:rPr>
          <w:b/>
          <w:bCs/>
          <w:lang w:val="en-GB"/>
        </w:rPr>
        <w:t xml:space="preserve"> </w:t>
      </w:r>
      <w:r w:rsidR="00170D47">
        <w:rPr>
          <w:b/>
          <w:bCs/>
          <w:lang w:val="en-GB"/>
        </w:rPr>
        <w:t>c</w:t>
      </w:r>
      <w:r w:rsidR="007A22BF" w:rsidRPr="00170D47">
        <w:rPr>
          <w:b/>
          <w:bCs/>
          <w:lang w:val="en-GB"/>
        </w:rPr>
        <w:t xml:space="preserve">ircular </w:t>
      </w:r>
      <w:r w:rsidR="00170D47">
        <w:rPr>
          <w:b/>
          <w:bCs/>
          <w:lang w:val="en-GB"/>
        </w:rPr>
        <w:t>e</w:t>
      </w:r>
      <w:r w:rsidR="00170D47" w:rsidRPr="00170D47">
        <w:rPr>
          <w:b/>
          <w:bCs/>
          <w:lang w:val="en-GB"/>
        </w:rPr>
        <w:t>conomy</w:t>
      </w:r>
    </w:p>
    <w:p w14:paraId="69CDBC01" w14:textId="1A38EA5E" w:rsidR="009A4F8A" w:rsidRPr="00170D47" w:rsidRDefault="009A4F8A" w:rsidP="0082213C">
      <w:pPr>
        <w:pBdr>
          <w:top w:val="single" w:sz="4" w:space="1" w:color="auto"/>
          <w:left w:val="single" w:sz="4" w:space="4" w:color="auto"/>
          <w:bottom w:val="single" w:sz="4" w:space="1" w:color="auto"/>
          <w:right w:val="single" w:sz="4" w:space="4" w:color="auto"/>
        </w:pBdr>
        <w:ind w:left="720" w:hanging="360"/>
        <w:jc w:val="center"/>
        <w:rPr>
          <w:b/>
          <w:bCs/>
          <w:lang w:val="en-GB"/>
        </w:rPr>
      </w:pPr>
      <w:r>
        <w:rPr>
          <w:b/>
          <w:bCs/>
          <w:lang w:val="en-GB"/>
        </w:rPr>
        <w:t>Policy recommendations and action</w:t>
      </w:r>
      <w:r w:rsidR="0085671A">
        <w:rPr>
          <w:b/>
          <w:bCs/>
          <w:lang w:val="en-GB"/>
        </w:rPr>
        <w:t xml:space="preserve"> paper</w:t>
      </w:r>
    </w:p>
    <w:p w14:paraId="527F192E" w14:textId="4F8E895F" w:rsidR="001551DE" w:rsidRPr="00B06D7B" w:rsidRDefault="001551DE" w:rsidP="00B06D7B">
      <w:pPr>
        <w:pStyle w:val="ListParagraph"/>
        <w:numPr>
          <w:ilvl w:val="0"/>
          <w:numId w:val="17"/>
        </w:numPr>
        <w:jc w:val="both"/>
        <w:rPr>
          <w:bCs/>
        </w:rPr>
      </w:pPr>
      <w:r w:rsidRPr="00B06D7B">
        <w:rPr>
          <w:bCs/>
        </w:rPr>
        <w:t>INTRODUCTION</w:t>
      </w:r>
    </w:p>
    <w:p w14:paraId="1D314336" w14:textId="7AEEB714" w:rsidR="001551DE" w:rsidRDefault="001551DE" w:rsidP="00B06D7B">
      <w:pPr>
        <w:pStyle w:val="ListParagraph"/>
        <w:numPr>
          <w:ilvl w:val="0"/>
          <w:numId w:val="17"/>
        </w:numPr>
        <w:jc w:val="both"/>
        <w:rPr>
          <w:bCs/>
        </w:rPr>
      </w:pPr>
      <w:r w:rsidRPr="00B06D7B">
        <w:rPr>
          <w:bCs/>
        </w:rPr>
        <w:t>OUR VISION OF A CIRCULAR HOSPITALITY SECTOR</w:t>
      </w:r>
    </w:p>
    <w:p w14:paraId="6FA911F6" w14:textId="1A5D6EEF" w:rsidR="002105A4" w:rsidRDefault="002105A4" w:rsidP="002105A4">
      <w:pPr>
        <w:pStyle w:val="ListParagraph"/>
        <w:numPr>
          <w:ilvl w:val="1"/>
          <w:numId w:val="17"/>
        </w:numPr>
        <w:jc w:val="both"/>
        <w:rPr>
          <w:bCs/>
        </w:rPr>
      </w:pPr>
      <w:r>
        <w:rPr>
          <w:bCs/>
        </w:rPr>
        <w:t>Opportunities fr</w:t>
      </w:r>
      <w:r w:rsidR="00802F2B">
        <w:rPr>
          <w:bCs/>
        </w:rPr>
        <w:t>om</w:t>
      </w:r>
      <w:r>
        <w:rPr>
          <w:bCs/>
        </w:rPr>
        <w:t xml:space="preserve"> ‘going circular’</w:t>
      </w:r>
    </w:p>
    <w:p w14:paraId="67510112" w14:textId="77777777" w:rsidR="00802F2B" w:rsidRDefault="002105A4" w:rsidP="00802F2B">
      <w:pPr>
        <w:pStyle w:val="ListParagraph"/>
        <w:numPr>
          <w:ilvl w:val="1"/>
          <w:numId w:val="17"/>
        </w:numPr>
        <w:jc w:val="both"/>
        <w:rPr>
          <w:bCs/>
        </w:rPr>
      </w:pPr>
      <w:r>
        <w:rPr>
          <w:bCs/>
        </w:rPr>
        <w:t xml:space="preserve">Challenges </w:t>
      </w:r>
      <w:r w:rsidR="00802F2B">
        <w:rPr>
          <w:bCs/>
        </w:rPr>
        <w:t>to</w:t>
      </w:r>
      <w:r>
        <w:rPr>
          <w:bCs/>
        </w:rPr>
        <w:t xml:space="preserve"> </w:t>
      </w:r>
      <w:r w:rsidR="00A75F29">
        <w:rPr>
          <w:bCs/>
        </w:rPr>
        <w:t>‘going circular’</w:t>
      </w:r>
    </w:p>
    <w:p w14:paraId="3FC1D801" w14:textId="51AE9018" w:rsidR="00A75F29" w:rsidRPr="00802F2B" w:rsidRDefault="00802F2B" w:rsidP="00802F2B">
      <w:pPr>
        <w:pStyle w:val="ListParagraph"/>
        <w:numPr>
          <w:ilvl w:val="1"/>
          <w:numId w:val="17"/>
        </w:numPr>
        <w:jc w:val="both"/>
      </w:pPr>
      <w:r w:rsidRPr="00802F2B">
        <w:t>Hospitality contributions to the circular economy: Case studies</w:t>
      </w:r>
    </w:p>
    <w:p w14:paraId="46C8A9C9" w14:textId="3C98E7BD" w:rsidR="001551DE" w:rsidRPr="00B06D7B" w:rsidRDefault="001551DE" w:rsidP="00B06D7B">
      <w:pPr>
        <w:pStyle w:val="ListParagraph"/>
        <w:numPr>
          <w:ilvl w:val="0"/>
          <w:numId w:val="17"/>
        </w:numPr>
        <w:jc w:val="both"/>
        <w:rPr>
          <w:bCs/>
        </w:rPr>
      </w:pPr>
      <w:r w:rsidRPr="00B06D7B">
        <w:rPr>
          <w:bCs/>
        </w:rPr>
        <w:t>POLICY RECOMMANDATIONS</w:t>
      </w:r>
    </w:p>
    <w:p w14:paraId="2F207494" w14:textId="5F42044F" w:rsidR="001551DE" w:rsidRDefault="001551DE" w:rsidP="001551DE">
      <w:pPr>
        <w:pStyle w:val="ListParagraph"/>
        <w:numPr>
          <w:ilvl w:val="0"/>
          <w:numId w:val="17"/>
        </w:numPr>
        <w:jc w:val="both"/>
        <w:rPr>
          <w:bCs/>
        </w:rPr>
      </w:pPr>
      <w:r w:rsidRPr="00B06D7B">
        <w:rPr>
          <w:bCs/>
        </w:rPr>
        <w:t>HOTREC ACTION PLAN</w:t>
      </w:r>
    </w:p>
    <w:p w14:paraId="259FFEA7" w14:textId="77777777" w:rsidR="00CE3E2D" w:rsidRDefault="00CE3E2D" w:rsidP="00CE3E2D">
      <w:pPr>
        <w:pStyle w:val="ListParagraph"/>
        <w:ind w:left="1080"/>
        <w:jc w:val="both"/>
        <w:rPr>
          <w:bCs/>
        </w:rPr>
      </w:pPr>
    </w:p>
    <w:p w14:paraId="724A0BF8" w14:textId="77777777" w:rsidR="00871544" w:rsidRPr="00CE3E2D" w:rsidRDefault="00871544" w:rsidP="00CE3E2D">
      <w:pPr>
        <w:pStyle w:val="ListParagraph"/>
        <w:ind w:left="1080"/>
        <w:jc w:val="both"/>
        <w:rPr>
          <w:bCs/>
        </w:rPr>
      </w:pPr>
    </w:p>
    <w:p w14:paraId="3AAE589E" w14:textId="06D832C5" w:rsidR="00871EB7" w:rsidRPr="00871EB7" w:rsidRDefault="00600492" w:rsidP="00871EB7">
      <w:pPr>
        <w:pStyle w:val="ListParagraph"/>
        <w:numPr>
          <w:ilvl w:val="0"/>
          <w:numId w:val="4"/>
        </w:numPr>
        <w:jc w:val="both"/>
        <w:rPr>
          <w:b/>
        </w:rPr>
      </w:pPr>
      <w:r w:rsidRPr="000C4469">
        <w:rPr>
          <w:b/>
        </w:rPr>
        <w:t>I</w:t>
      </w:r>
      <w:r w:rsidR="00A04018">
        <w:rPr>
          <w:b/>
        </w:rPr>
        <w:t>NTRODUCTION</w:t>
      </w:r>
    </w:p>
    <w:p w14:paraId="41CD6BFA" w14:textId="7FCC4876" w:rsidR="00855963" w:rsidRDefault="00871EB7" w:rsidP="00004019">
      <w:pPr>
        <w:spacing w:before="100" w:beforeAutospacing="1" w:after="100" w:afterAutospacing="1" w:line="240" w:lineRule="auto"/>
        <w:jc w:val="both"/>
        <w:rPr>
          <w:lang w:val="en-GB"/>
        </w:rPr>
      </w:pPr>
      <w:r w:rsidRPr="4E773A9B">
        <w:rPr>
          <w:lang w:val="en-GB"/>
        </w:rPr>
        <w:t xml:space="preserve">In </w:t>
      </w:r>
      <w:r w:rsidR="00E45568">
        <w:rPr>
          <w:lang w:val="en-GB"/>
        </w:rPr>
        <w:t>the context of the</w:t>
      </w:r>
      <w:r w:rsidRPr="4E773A9B">
        <w:rPr>
          <w:lang w:val="en-GB"/>
        </w:rPr>
        <w:t xml:space="preserve"> public consultation on the Circular Economy Act</w:t>
      </w:r>
      <w:r w:rsidR="00DA238C">
        <w:rPr>
          <w:lang w:val="en-GB"/>
        </w:rPr>
        <w:t xml:space="preserve"> </w:t>
      </w:r>
      <w:r w:rsidR="002207D9">
        <w:rPr>
          <w:lang w:val="en-GB"/>
        </w:rPr>
        <w:t>to be adopted by the end of 2026</w:t>
      </w:r>
      <w:r w:rsidRPr="4E773A9B">
        <w:rPr>
          <w:lang w:val="en-GB"/>
        </w:rPr>
        <w:t>, HOTREC presents its vision for a circular hospitality sector</w:t>
      </w:r>
      <w:r w:rsidR="00855963">
        <w:rPr>
          <w:lang w:val="en-GB"/>
        </w:rPr>
        <w:t xml:space="preserve"> for</w:t>
      </w:r>
      <w:r w:rsidRPr="4E773A9B">
        <w:rPr>
          <w:lang w:val="en-GB"/>
        </w:rPr>
        <w:t xml:space="preserve"> sustainable growth and environmental stewardship. This vision highlights tangible contributions of hotels, restaurants, bars, and cafés to the </w:t>
      </w:r>
      <w:r w:rsidRPr="00DD54E9">
        <w:rPr>
          <w:i/>
          <w:iCs/>
          <w:lang w:val="en-GB"/>
        </w:rPr>
        <w:t>circular economy</w:t>
      </w:r>
      <w:r w:rsidR="009F60AA" w:rsidRPr="4E773A9B">
        <w:rPr>
          <w:lang w:val="en-GB"/>
        </w:rPr>
        <w:t xml:space="preserve"> </w:t>
      </w:r>
      <w:r w:rsidRPr="4E773A9B">
        <w:rPr>
          <w:lang w:val="en-GB"/>
        </w:rPr>
        <w:t>—</w:t>
      </w:r>
      <w:r w:rsidR="009F60AA" w:rsidRPr="4E773A9B">
        <w:rPr>
          <w:lang w:val="en-GB"/>
        </w:rPr>
        <w:t xml:space="preserve"> </w:t>
      </w:r>
      <w:r w:rsidRPr="00880246">
        <w:rPr>
          <w:lang w:val="en-GB"/>
        </w:rPr>
        <w:t xml:space="preserve">a </w:t>
      </w:r>
      <w:r w:rsidR="00C6245A" w:rsidRPr="00880246">
        <w:rPr>
          <w:lang w:val="en-GB"/>
        </w:rPr>
        <w:t>system</w:t>
      </w:r>
      <w:r w:rsidRPr="00880246">
        <w:rPr>
          <w:lang w:val="en-GB"/>
        </w:rPr>
        <w:t xml:space="preserve"> designed to maintain the value of products, materials, and resources for as long as possible</w:t>
      </w:r>
      <w:r w:rsidRPr="4E773A9B">
        <w:rPr>
          <w:lang w:val="en-GB"/>
        </w:rPr>
        <w:t xml:space="preserve">. </w:t>
      </w:r>
    </w:p>
    <w:p w14:paraId="6E20E09C" w14:textId="11847179" w:rsidR="00004019" w:rsidRDefault="00F3215E" w:rsidP="6BA818B0">
      <w:pPr>
        <w:spacing w:before="100" w:beforeAutospacing="1" w:after="100" w:afterAutospacing="1" w:line="240" w:lineRule="auto"/>
        <w:jc w:val="both"/>
        <w:rPr>
          <w:noProof/>
        </w:rPr>
      </w:pPr>
      <w:r w:rsidRPr="00F3215E">
        <w:t>In a circular economy, products and materials are kept in circulation through processes like maintenance, reuse, refurbishment, remanufacture, recycling, and composting</w:t>
      </w:r>
      <w:r w:rsidR="004F6730">
        <w:rPr>
          <w:rStyle w:val="FootnoteReference"/>
        </w:rPr>
        <w:footnoteReference w:id="1"/>
      </w:r>
      <w:r>
        <w:t xml:space="preserve"> </w:t>
      </w:r>
      <w:r w:rsidRPr="4E773A9B">
        <w:rPr>
          <w:lang w:val="en-GB"/>
        </w:rPr>
        <w:t xml:space="preserve">in accordance with the </w:t>
      </w:r>
      <w:r w:rsidR="003D50CB">
        <w:rPr>
          <w:lang w:val="en-GB"/>
        </w:rPr>
        <w:t xml:space="preserve">EU </w:t>
      </w:r>
      <w:r w:rsidRPr="4E773A9B">
        <w:rPr>
          <w:lang w:val="en-GB"/>
        </w:rPr>
        <w:t>waste hierarchy</w:t>
      </w:r>
      <w:r w:rsidR="003D50CB">
        <w:rPr>
          <w:rStyle w:val="FootnoteReference"/>
          <w:lang w:val="en-GB"/>
        </w:rPr>
        <w:footnoteReference w:id="2"/>
      </w:r>
      <w:r w:rsidR="00004019">
        <w:rPr>
          <w:lang w:val="en-GB"/>
        </w:rPr>
        <w:t xml:space="preserve"> </w:t>
      </w:r>
      <w:r w:rsidR="006C72AB">
        <w:rPr>
          <w:lang w:val="en-GB"/>
        </w:rPr>
        <w:t>(</w:t>
      </w:r>
      <w:r w:rsidR="00004019">
        <w:rPr>
          <w:lang w:val="en-GB"/>
        </w:rPr>
        <w:t>below)</w:t>
      </w:r>
      <w:r w:rsidRPr="4E773A9B">
        <w:rPr>
          <w:lang w:val="en-GB"/>
        </w:rPr>
        <w:t>.</w:t>
      </w:r>
      <w:r w:rsidR="00004019" w:rsidRPr="00004019">
        <w:rPr>
          <w:noProof/>
        </w:rPr>
        <w:t xml:space="preserve"> </w:t>
      </w:r>
    </w:p>
    <w:p w14:paraId="4D8A7546" w14:textId="3293E0B9" w:rsidR="00871EB7" w:rsidRPr="00871EB7" w:rsidRDefault="00004019" w:rsidP="00004019">
      <w:pPr>
        <w:spacing w:before="100" w:beforeAutospacing="1" w:after="100" w:afterAutospacing="1" w:line="240" w:lineRule="auto"/>
        <w:jc w:val="center"/>
        <w:rPr>
          <w:lang w:val="en-GB"/>
        </w:rPr>
      </w:pPr>
      <w:r w:rsidRPr="00D40ADA">
        <w:rPr>
          <w:noProof/>
        </w:rPr>
        <w:drawing>
          <wp:inline distT="0" distB="0" distL="0" distR="0" wp14:anchorId="32395E51" wp14:editId="5DE42AAE">
            <wp:extent cx="3486456" cy="2202115"/>
            <wp:effectExtent l="0" t="0" r="0" b="8255"/>
            <wp:docPr id="602382273" name="Picture 1" descr="A diagram of a waste hierarch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2382273" name="Picture 1" descr="A diagram of a waste hierarchy&#10;&#10;AI-generated content may be incorrect."/>
                    <pic:cNvPicPr/>
                  </pic:nvPicPr>
                  <pic:blipFill>
                    <a:blip r:embed="rId11"/>
                    <a:stretch>
                      <a:fillRect/>
                    </a:stretch>
                  </pic:blipFill>
                  <pic:spPr>
                    <a:xfrm>
                      <a:off x="0" y="0"/>
                      <a:ext cx="3495766" cy="2207996"/>
                    </a:xfrm>
                    <a:prstGeom prst="rect">
                      <a:avLst/>
                    </a:prstGeom>
                  </pic:spPr>
                </pic:pic>
              </a:graphicData>
            </a:graphic>
          </wp:inline>
        </w:drawing>
      </w:r>
    </w:p>
    <w:p w14:paraId="20439CAC" w14:textId="01978683" w:rsidR="00F40747" w:rsidRDefault="00871EB7" w:rsidP="00B4438A">
      <w:pPr>
        <w:spacing w:before="100" w:beforeAutospacing="1" w:after="100" w:afterAutospacing="1" w:line="240" w:lineRule="auto"/>
        <w:jc w:val="both"/>
      </w:pPr>
      <w:r w:rsidRPr="00871EB7">
        <w:t>This paper outlines</w:t>
      </w:r>
      <w:r w:rsidR="00D05B9F">
        <w:t xml:space="preserve"> </w:t>
      </w:r>
      <w:r w:rsidRPr="0068266D">
        <w:rPr>
          <w:b/>
        </w:rPr>
        <w:t>policy recommendations</w:t>
      </w:r>
      <w:r w:rsidR="0057493A" w:rsidRPr="0057493A">
        <w:t xml:space="preserve"> </w:t>
      </w:r>
      <w:r w:rsidR="0057493A" w:rsidRPr="00871EB7">
        <w:t xml:space="preserve">across </w:t>
      </w:r>
      <w:r w:rsidR="000701B9">
        <w:t>three</w:t>
      </w:r>
      <w:r w:rsidR="0057493A" w:rsidRPr="00871EB7">
        <w:t xml:space="preserve"> core pillars</w:t>
      </w:r>
      <w:r w:rsidR="009270AC">
        <w:t xml:space="preserve"> </w:t>
      </w:r>
      <w:r w:rsidR="00E51F69">
        <w:t>of</w:t>
      </w:r>
      <w:r w:rsidR="009270AC">
        <w:t xml:space="preserve"> circularity in hospitality</w:t>
      </w:r>
      <w:r w:rsidR="0057493A" w:rsidRPr="00871EB7">
        <w:t xml:space="preserve">: </w:t>
      </w:r>
      <w:r w:rsidR="009F5F64" w:rsidRPr="00871EB7">
        <w:t>waste management</w:t>
      </w:r>
      <w:r w:rsidR="009F5F64">
        <w:t>,</w:t>
      </w:r>
      <w:r w:rsidR="009F5F64" w:rsidRPr="00871EB7">
        <w:t xml:space="preserve"> </w:t>
      </w:r>
      <w:r w:rsidR="0057493A" w:rsidRPr="00871EB7">
        <w:t>food waste reduction,</w:t>
      </w:r>
      <w:r w:rsidR="009F5F64">
        <w:t xml:space="preserve"> </w:t>
      </w:r>
      <w:r w:rsidR="0057493A" w:rsidRPr="00871EB7">
        <w:t>and reuse</w:t>
      </w:r>
      <w:r w:rsidRPr="00871EB7">
        <w:t xml:space="preserve">, </w:t>
      </w:r>
      <w:r w:rsidR="00E51F69">
        <w:t xml:space="preserve">while </w:t>
      </w:r>
      <w:proofErr w:type="spellStart"/>
      <w:r w:rsidR="00541C6A">
        <w:t>prioriti</w:t>
      </w:r>
      <w:r w:rsidR="005570D0">
        <w:t>s</w:t>
      </w:r>
      <w:r w:rsidR="00541C6A">
        <w:t>ing</w:t>
      </w:r>
      <w:proofErr w:type="spellEnd"/>
      <w:r w:rsidR="00541C6A">
        <w:t xml:space="preserve"> </w:t>
      </w:r>
      <w:r w:rsidRPr="00871EB7">
        <w:t xml:space="preserve">small businesses. </w:t>
      </w:r>
      <w:r w:rsidR="00E51F69">
        <w:t>We</w:t>
      </w:r>
      <w:r w:rsidRPr="00871EB7">
        <w:t xml:space="preserve"> </w:t>
      </w:r>
      <w:proofErr w:type="spellStart"/>
      <w:r w:rsidR="005570D0">
        <w:t>emphasise</w:t>
      </w:r>
      <w:proofErr w:type="spellEnd"/>
      <w:r w:rsidR="005570D0">
        <w:t xml:space="preserve"> the need to invest in</w:t>
      </w:r>
      <w:r w:rsidRPr="00871EB7">
        <w:t xml:space="preserve"> training to foster a well-functioning and </w:t>
      </w:r>
      <w:r w:rsidRPr="00871EB7">
        <w:lastRenderedPageBreak/>
        <w:t xml:space="preserve">competitive circular </w:t>
      </w:r>
      <w:r w:rsidR="0068266D">
        <w:t>hospitality sector</w:t>
      </w:r>
      <w:r w:rsidRPr="00871EB7">
        <w:t>. Additionally,</w:t>
      </w:r>
      <w:r w:rsidR="004A3FAE">
        <w:t xml:space="preserve"> we</w:t>
      </w:r>
      <w:r w:rsidRPr="00871EB7">
        <w:t xml:space="preserve"> propose </w:t>
      </w:r>
      <w:r w:rsidR="00C028BC">
        <w:t xml:space="preserve">HOTREC </w:t>
      </w:r>
      <w:r w:rsidRPr="0068266D">
        <w:rPr>
          <w:b/>
        </w:rPr>
        <w:t>targeted actions</w:t>
      </w:r>
      <w:r w:rsidR="00C028BC" w:rsidRPr="00B565F9">
        <w:rPr>
          <w:bCs/>
        </w:rPr>
        <w:t>,</w:t>
      </w:r>
      <w:r w:rsidRPr="00871EB7">
        <w:t xml:space="preserve"> </w:t>
      </w:r>
      <w:r w:rsidR="00B4438A">
        <w:t>a</w:t>
      </w:r>
      <w:r w:rsidRPr="00871EB7">
        <w:t>ligned with the waste hierar</w:t>
      </w:r>
      <w:r w:rsidR="00B4438A">
        <w:t>chy and reflecting</w:t>
      </w:r>
      <w:r w:rsidRPr="00871EB7">
        <w:t xml:space="preserve"> prevention, reuse, and recycling measures</w:t>
      </w:r>
      <w:r w:rsidR="00B4438A">
        <w:t>.</w:t>
      </w:r>
    </w:p>
    <w:p w14:paraId="5F05551C" w14:textId="77777777" w:rsidR="00871544" w:rsidRPr="00C011C6" w:rsidRDefault="00871544" w:rsidP="00B4438A">
      <w:pPr>
        <w:spacing w:before="100" w:beforeAutospacing="1" w:after="100" w:afterAutospacing="1" w:line="240" w:lineRule="auto"/>
        <w:jc w:val="both"/>
      </w:pPr>
    </w:p>
    <w:p w14:paraId="73554E2F" w14:textId="5C9E3AAF" w:rsidR="00600492" w:rsidRDefault="00A04018" w:rsidP="0028480A">
      <w:pPr>
        <w:pStyle w:val="ListParagraph"/>
        <w:numPr>
          <w:ilvl w:val="0"/>
          <w:numId w:val="4"/>
        </w:numPr>
        <w:jc w:val="both"/>
        <w:rPr>
          <w:b/>
        </w:rPr>
      </w:pPr>
      <w:r>
        <w:rPr>
          <w:b/>
        </w:rPr>
        <w:t>OUR VISION OF A CIRCULAR HOSPITALITY SECTOR</w:t>
      </w:r>
    </w:p>
    <w:p w14:paraId="4358F0F3" w14:textId="4BCF6FFA" w:rsidR="00C64041" w:rsidRDefault="2BE0DA55" w:rsidP="77AF7660">
      <w:pPr>
        <w:spacing w:before="100" w:beforeAutospacing="1" w:after="100" w:afterAutospacing="1" w:line="240" w:lineRule="auto"/>
        <w:jc w:val="both"/>
      </w:pPr>
      <w:r w:rsidRPr="003B2D0F">
        <w:rPr>
          <w:rFonts w:ascii="Aptos" w:eastAsia="Aptos" w:hAnsi="Aptos" w:cs="Aptos"/>
        </w:rPr>
        <w:t>With over 2 million businesses employing 10 million individuals, the European hospitality sector is a major economic contributor</w:t>
      </w:r>
      <w:r w:rsidR="007E2F62">
        <w:rPr>
          <w:rFonts w:ascii="Aptos" w:eastAsia="Aptos" w:hAnsi="Aptos" w:cs="Aptos"/>
        </w:rPr>
        <w:t xml:space="preserve"> </w:t>
      </w:r>
      <w:r w:rsidRPr="003B2D0F">
        <w:rPr>
          <w:rFonts w:ascii="Aptos" w:eastAsia="Aptos" w:hAnsi="Aptos" w:cs="Aptos"/>
        </w:rPr>
        <w:t>(3% of the total EU GDP)</w:t>
      </w:r>
      <w:r w:rsidR="007E2F62">
        <w:rPr>
          <w:rFonts w:ascii="Aptos" w:eastAsia="Aptos" w:hAnsi="Aptos" w:cs="Aptos"/>
        </w:rPr>
        <w:t>,</w:t>
      </w:r>
      <w:r w:rsidR="5A040796" w:rsidRPr="003B2D0F">
        <w:rPr>
          <w:rFonts w:ascii="Aptos" w:eastAsia="Aptos" w:hAnsi="Aptos" w:cs="Aptos"/>
        </w:rPr>
        <w:t xml:space="preserve"> </w:t>
      </w:r>
      <w:r w:rsidRPr="003B2D0F">
        <w:rPr>
          <w:rFonts w:ascii="Aptos" w:eastAsia="Aptos" w:hAnsi="Aptos" w:cs="Aptos"/>
        </w:rPr>
        <w:t>driven overwhelmingly by small and medium-sized enterprises, which account for 99% of all operators.</w:t>
      </w:r>
      <w:r w:rsidR="00875DB3" w:rsidRPr="003B2D0F">
        <w:t xml:space="preserve"> </w:t>
      </w:r>
      <w:r w:rsidR="0055238A" w:rsidRPr="5E94531A">
        <w:t>The hospitality industry is highly dependent on nature</w:t>
      </w:r>
      <w:r w:rsidR="0055238A" w:rsidRPr="00FB7BB8">
        <w:t xml:space="preserve"> </w:t>
      </w:r>
      <w:r w:rsidR="0055238A">
        <w:t>and</w:t>
      </w:r>
      <w:r w:rsidR="005E0813">
        <w:t xml:space="preserve"> </w:t>
      </w:r>
      <w:r w:rsidR="007C75FF" w:rsidRPr="5E94531A">
        <w:t>resource</w:t>
      </w:r>
      <w:r w:rsidR="007C75FF">
        <w:t xml:space="preserve"> intensive</w:t>
      </w:r>
      <w:r w:rsidR="0055238A">
        <w:t xml:space="preserve">. </w:t>
      </w:r>
      <w:r w:rsidR="009D1024">
        <w:t>In</w:t>
      </w:r>
      <w:r w:rsidR="00C676F0">
        <w:t xml:space="preserve"> 2019, </w:t>
      </w:r>
      <w:r w:rsidR="009D1024">
        <w:t xml:space="preserve">hospitality accounted </w:t>
      </w:r>
      <w:r w:rsidR="009D1024" w:rsidRPr="009D1024">
        <w:t>for 20% of the tourism industry total carbon emissions</w:t>
      </w:r>
      <w:r w:rsidR="009D1024">
        <w:rPr>
          <w:rStyle w:val="FootnoteReference"/>
          <w:b/>
          <w:bCs/>
        </w:rPr>
        <w:footnoteReference w:id="3"/>
      </w:r>
      <w:r w:rsidR="009D1024">
        <w:t xml:space="preserve">. </w:t>
      </w:r>
      <w:r w:rsidR="00CA5285" w:rsidRPr="5E94531A">
        <w:t>At the same time, tourism revenue and the presence of visitors, fuel conservation efforts, protected areas, and local economies</w:t>
      </w:r>
      <w:r w:rsidR="006A5E4A" w:rsidRPr="5E94531A">
        <w:rPr>
          <w:rStyle w:val="FootnoteReference"/>
        </w:rPr>
        <w:footnoteReference w:id="4"/>
      </w:r>
      <w:r w:rsidR="00C03E0E">
        <w:t>.</w:t>
      </w:r>
      <w:r w:rsidR="00677A45" w:rsidRPr="5E94531A">
        <w:t xml:space="preserve"> </w:t>
      </w:r>
    </w:p>
    <w:p w14:paraId="7627F727" w14:textId="28066C75" w:rsidR="0019656F" w:rsidRPr="00802F2B" w:rsidRDefault="0019656F" w:rsidP="00802F2B">
      <w:pPr>
        <w:pStyle w:val="ListParagraph"/>
        <w:numPr>
          <w:ilvl w:val="0"/>
          <w:numId w:val="18"/>
        </w:numPr>
        <w:spacing w:before="100" w:beforeAutospacing="1" w:after="100" w:afterAutospacing="1" w:line="240" w:lineRule="auto"/>
        <w:jc w:val="both"/>
        <w:rPr>
          <w:b/>
          <w:bCs/>
        </w:rPr>
      </w:pPr>
      <w:r w:rsidRPr="00802F2B">
        <w:rPr>
          <w:b/>
          <w:bCs/>
        </w:rPr>
        <w:t xml:space="preserve">Opportunities from </w:t>
      </w:r>
      <w:r w:rsidR="001E1358" w:rsidRPr="00802F2B">
        <w:rPr>
          <w:b/>
          <w:bCs/>
        </w:rPr>
        <w:t>‘</w:t>
      </w:r>
      <w:r w:rsidRPr="00802F2B">
        <w:rPr>
          <w:b/>
          <w:bCs/>
        </w:rPr>
        <w:t>going circular</w:t>
      </w:r>
      <w:r w:rsidR="001E1358" w:rsidRPr="00802F2B">
        <w:rPr>
          <w:b/>
          <w:bCs/>
        </w:rPr>
        <w:t>’</w:t>
      </w:r>
    </w:p>
    <w:p w14:paraId="602C4304" w14:textId="69F3FC1B" w:rsidR="0019656F" w:rsidRDefault="00484146" w:rsidP="5E94531A">
      <w:pPr>
        <w:spacing w:before="100" w:beforeAutospacing="1" w:after="100" w:afterAutospacing="1" w:line="240" w:lineRule="auto"/>
        <w:jc w:val="both"/>
      </w:pPr>
      <w:r w:rsidRPr="00484146">
        <w:t xml:space="preserve">The circular economy offers substantial opportunities for </w:t>
      </w:r>
      <w:r w:rsidR="00963239">
        <w:t>h</w:t>
      </w:r>
      <w:r w:rsidR="00DB58AA">
        <w:t>ospitality</w:t>
      </w:r>
      <w:r w:rsidR="00963239">
        <w:t xml:space="preserve"> </w:t>
      </w:r>
      <w:r w:rsidRPr="00484146">
        <w:t>to boost economic performance while promoting sustainability</w:t>
      </w:r>
      <w:r w:rsidR="0062568E">
        <w:rPr>
          <w:rStyle w:val="FootnoteReference"/>
        </w:rPr>
        <w:footnoteReference w:id="5"/>
      </w:r>
      <w:r w:rsidR="00226E87">
        <w:t>. F</w:t>
      </w:r>
      <w:r w:rsidR="00503A5D">
        <w:t>rom</w:t>
      </w:r>
      <w:r w:rsidRPr="00484146">
        <w:t xml:space="preserve"> reduc</w:t>
      </w:r>
      <w:r w:rsidR="00503A5D">
        <w:t>ing</w:t>
      </w:r>
      <w:r w:rsidRPr="00484146">
        <w:t xml:space="preserve"> costs through streamlined operations</w:t>
      </w:r>
      <w:r w:rsidR="00721CDD">
        <w:t xml:space="preserve"> to </w:t>
      </w:r>
      <w:proofErr w:type="spellStart"/>
      <w:r w:rsidRPr="00484146">
        <w:t>minimi</w:t>
      </w:r>
      <w:r w:rsidR="00721CDD">
        <w:t>sing</w:t>
      </w:r>
      <w:proofErr w:type="spellEnd"/>
      <w:r w:rsidRPr="00484146">
        <w:t xml:space="preserve"> waste</w:t>
      </w:r>
      <w:r w:rsidR="00E57E66">
        <w:t xml:space="preserve">, circular solutions can </w:t>
      </w:r>
      <w:r w:rsidR="008A1AA8" w:rsidRPr="00484146">
        <w:t>lead to economic</w:t>
      </w:r>
      <w:r w:rsidR="00AE5677">
        <w:t xml:space="preserve"> and reputational</w:t>
      </w:r>
      <w:r w:rsidR="008A1AA8" w:rsidRPr="00484146">
        <w:t xml:space="preserve"> gains, and </w:t>
      </w:r>
      <w:r w:rsidR="00D60377">
        <w:t xml:space="preserve">make local communities </w:t>
      </w:r>
      <w:r w:rsidR="00254260">
        <w:t>flourish</w:t>
      </w:r>
      <w:r w:rsidRPr="00484146">
        <w:t xml:space="preserve">. Attracting environmentally conscious customers can further expand the customer base. </w:t>
      </w:r>
      <w:r w:rsidR="00FC1A53">
        <w:t>Adopting circular</w:t>
      </w:r>
      <w:r w:rsidR="00807551">
        <w:t xml:space="preserve"> practices can boost staff recruitment and retention</w:t>
      </w:r>
      <w:r w:rsidR="00807551">
        <w:rPr>
          <w:rStyle w:val="FootnoteReference"/>
        </w:rPr>
        <w:footnoteReference w:id="6"/>
      </w:r>
      <w:r w:rsidR="0019656F">
        <w:t>, especially among millennials.</w:t>
      </w:r>
      <w:r w:rsidR="00807551">
        <w:t xml:space="preserve"> </w:t>
      </w:r>
    </w:p>
    <w:p w14:paraId="4C933433" w14:textId="59565972" w:rsidR="001E1358" w:rsidRPr="00802F2B" w:rsidRDefault="001E1358" w:rsidP="00802F2B">
      <w:pPr>
        <w:pStyle w:val="ListParagraph"/>
        <w:numPr>
          <w:ilvl w:val="0"/>
          <w:numId w:val="18"/>
        </w:numPr>
        <w:spacing w:before="100" w:beforeAutospacing="1" w:after="100" w:afterAutospacing="1" w:line="240" w:lineRule="auto"/>
        <w:jc w:val="both"/>
        <w:rPr>
          <w:b/>
          <w:bCs/>
        </w:rPr>
      </w:pPr>
      <w:r w:rsidRPr="00802F2B">
        <w:rPr>
          <w:b/>
          <w:bCs/>
        </w:rPr>
        <w:t>Challenges to ‘going circular’</w:t>
      </w:r>
    </w:p>
    <w:p w14:paraId="179146CB" w14:textId="41FB460C" w:rsidR="001E1358" w:rsidRDefault="00807551" w:rsidP="62E63A0F">
      <w:pPr>
        <w:spacing w:before="100" w:beforeAutospacing="1" w:after="100" w:afterAutospacing="1" w:line="240" w:lineRule="auto"/>
        <w:jc w:val="both"/>
      </w:pPr>
      <w:r>
        <w:t>H</w:t>
      </w:r>
      <w:r w:rsidR="00484146">
        <w:t>owever, challenges such as initial investment costs</w:t>
      </w:r>
      <w:r w:rsidR="00FB337C">
        <w:t xml:space="preserve"> and lack of immediate return on </w:t>
      </w:r>
      <w:r w:rsidR="006D3745">
        <w:t>investment</w:t>
      </w:r>
      <w:r w:rsidR="00484146">
        <w:t xml:space="preserve"> </w:t>
      </w:r>
      <w:r w:rsidR="00987458">
        <w:t xml:space="preserve">can </w:t>
      </w:r>
      <w:r w:rsidR="00FB337C">
        <w:t>impact</w:t>
      </w:r>
      <w:r w:rsidR="00EA10EC">
        <w:t xml:space="preserve"> businesses, especially</w:t>
      </w:r>
      <w:r w:rsidR="0C5B503F">
        <w:t xml:space="preserve"> Micro, Small and Medium Enterprises</w:t>
      </w:r>
      <w:r w:rsidR="00EA10EC">
        <w:t xml:space="preserve"> </w:t>
      </w:r>
      <w:r w:rsidR="5FC51DE9">
        <w:t>(</w:t>
      </w:r>
      <w:r w:rsidR="00EA10EC">
        <w:t>MSMEs</w:t>
      </w:r>
      <w:r w:rsidR="46B5E5F6">
        <w:t>)</w:t>
      </w:r>
      <w:r w:rsidR="00EA10EC">
        <w:t>. Regulatory uncertainty and complex administrative processes add to the burden, while a shortage of skilled professionals and the need for extensive training</w:t>
      </w:r>
      <w:r w:rsidR="00840D85">
        <w:t xml:space="preserve"> on circularity</w:t>
      </w:r>
      <w:r w:rsidR="00EA10EC">
        <w:t xml:space="preserve"> further complicate the </w:t>
      </w:r>
      <w:r w:rsidR="00FB337C">
        <w:t>picture</w:t>
      </w:r>
      <w:r w:rsidR="00EA10EC">
        <w:t xml:space="preserve">. </w:t>
      </w:r>
      <w:r w:rsidR="007D4691">
        <w:t xml:space="preserve">Hospitality operators are increasingly dependent on suppliers for various </w:t>
      </w:r>
      <w:r w:rsidR="00C0403B">
        <w:t>circular solutions</w:t>
      </w:r>
      <w:r w:rsidR="007D4691">
        <w:t xml:space="preserve">, including sustainable packaging, water reduction systems, and circular textiles. However, the lack of </w:t>
      </w:r>
      <w:proofErr w:type="spellStart"/>
      <w:r w:rsidR="007D4691">
        <w:t>standardi</w:t>
      </w:r>
      <w:r w:rsidR="00901D21">
        <w:t>s</w:t>
      </w:r>
      <w:r w:rsidR="007D4691">
        <w:t>ed</w:t>
      </w:r>
      <w:proofErr w:type="spellEnd"/>
      <w:r w:rsidR="007D4691">
        <w:t xml:space="preserve"> </w:t>
      </w:r>
      <w:r w:rsidR="002E6B4A">
        <w:t>approaches to circularity across different industries and regions</w:t>
      </w:r>
      <w:r w:rsidR="007D4691">
        <w:t xml:space="preserve"> </w:t>
      </w:r>
      <w:r w:rsidR="00901D21">
        <w:t xml:space="preserve">can </w:t>
      </w:r>
      <w:r w:rsidR="007D4691">
        <w:t>lead to fragmentation</w:t>
      </w:r>
      <w:r w:rsidR="00901D21">
        <w:t>.</w:t>
      </w:r>
      <w:r w:rsidR="007D4691">
        <w:t xml:space="preserve"> </w:t>
      </w:r>
    </w:p>
    <w:p w14:paraId="056E4390" w14:textId="0474D0B7" w:rsidR="001E1358" w:rsidRDefault="001E1358" w:rsidP="001E1358">
      <w:pPr>
        <w:spacing w:before="100" w:beforeAutospacing="1" w:after="100" w:afterAutospacing="1" w:line="240" w:lineRule="auto"/>
        <w:jc w:val="both"/>
      </w:pPr>
      <w:r>
        <w:t xml:space="preserve">Studies </w:t>
      </w:r>
      <w:r w:rsidR="009C5403">
        <w:t xml:space="preserve">also </w:t>
      </w:r>
      <w:r>
        <w:t xml:space="preserve">show that travellers can </w:t>
      </w:r>
      <w:r w:rsidRPr="5E94531A">
        <w:t xml:space="preserve">adopt different consumer </w:t>
      </w:r>
      <w:proofErr w:type="spellStart"/>
      <w:r w:rsidRPr="5E94531A">
        <w:t>behaviours</w:t>
      </w:r>
      <w:proofErr w:type="spellEnd"/>
      <w:r>
        <w:t xml:space="preserve"> than at home, for instance </w:t>
      </w:r>
      <w:r w:rsidRPr="5E94531A">
        <w:t>us</w:t>
      </w:r>
      <w:r>
        <w:t>ing</w:t>
      </w:r>
      <w:r w:rsidRPr="5E94531A">
        <w:t xml:space="preserve"> almost double the water</w:t>
      </w:r>
      <w:r>
        <w:t xml:space="preserve"> </w:t>
      </w:r>
      <w:r w:rsidRPr="5E94531A">
        <w:t>compared to when they stay at home</w:t>
      </w:r>
      <w:r w:rsidRPr="5E94531A">
        <w:rPr>
          <w:rStyle w:val="FootnoteReference"/>
        </w:rPr>
        <w:footnoteReference w:id="7"/>
      </w:r>
      <w:r w:rsidRPr="5E94531A">
        <w:t>.</w:t>
      </w:r>
      <w:r w:rsidRPr="0049662A">
        <w:t xml:space="preserve"> </w:t>
      </w:r>
      <w:r>
        <w:t>The gap between what sustainable activities travellers say they want and what they do while travelling is well documented and can constitute a challenge for hospitality operators applying circular solutions</w:t>
      </w:r>
      <w:r>
        <w:rPr>
          <w:rStyle w:val="FootnoteReference"/>
        </w:rPr>
        <w:footnoteReference w:id="8"/>
      </w:r>
      <w:r>
        <w:t>.</w:t>
      </w:r>
    </w:p>
    <w:p w14:paraId="010C58CC" w14:textId="18DD8C23" w:rsidR="009C5403" w:rsidRDefault="009C5403" w:rsidP="5E94531A">
      <w:pPr>
        <w:spacing w:before="100" w:beforeAutospacing="1" w:after="100" w:afterAutospacing="1" w:line="240" w:lineRule="auto"/>
        <w:jc w:val="both"/>
      </w:pPr>
      <w:r w:rsidRPr="00EA10EC">
        <w:lastRenderedPageBreak/>
        <w:t>Addressing these issues requires coordinated efforts from businesses, governments, and stakeholders to create a supportive environment through financial incentives</w:t>
      </w:r>
      <w:r w:rsidR="007E2F62">
        <w:t xml:space="preserve"> and </w:t>
      </w:r>
      <w:r w:rsidRPr="00EA10EC">
        <w:t>regulatory stability</w:t>
      </w:r>
      <w:r w:rsidR="00D00F85">
        <w:t>.</w:t>
      </w:r>
      <w:r w:rsidR="000A2FF7">
        <w:t xml:space="preserve"> </w:t>
      </w:r>
    </w:p>
    <w:p w14:paraId="5F2E11D0" w14:textId="67B24800" w:rsidR="001E1358" w:rsidRPr="00802F2B" w:rsidRDefault="002C2CFF" w:rsidP="00802F2B">
      <w:pPr>
        <w:pStyle w:val="ListParagraph"/>
        <w:numPr>
          <w:ilvl w:val="0"/>
          <w:numId w:val="18"/>
        </w:numPr>
        <w:spacing w:before="100" w:beforeAutospacing="1" w:after="100" w:afterAutospacing="1" w:line="240" w:lineRule="auto"/>
        <w:jc w:val="both"/>
        <w:rPr>
          <w:b/>
          <w:bCs/>
        </w:rPr>
      </w:pPr>
      <w:r w:rsidRPr="00802F2B">
        <w:rPr>
          <w:b/>
          <w:bCs/>
        </w:rPr>
        <w:t>Hospitality c</w:t>
      </w:r>
      <w:r w:rsidR="001E1358" w:rsidRPr="00802F2B">
        <w:rPr>
          <w:b/>
          <w:bCs/>
        </w:rPr>
        <w:t>ontributions to the circular economy</w:t>
      </w:r>
      <w:r w:rsidR="006D3745" w:rsidRPr="00802F2B">
        <w:rPr>
          <w:b/>
          <w:bCs/>
        </w:rPr>
        <w:t>: C</w:t>
      </w:r>
      <w:r w:rsidRPr="00802F2B">
        <w:rPr>
          <w:b/>
          <w:bCs/>
        </w:rPr>
        <w:t>ase studies</w:t>
      </w:r>
    </w:p>
    <w:p w14:paraId="03FF4A5B" w14:textId="45E2EE69" w:rsidR="005C7951" w:rsidRPr="000F7449" w:rsidRDefault="00484146" w:rsidP="5E94531A">
      <w:pPr>
        <w:spacing w:before="100" w:beforeAutospacing="1" w:after="100" w:afterAutospacing="1" w:line="240" w:lineRule="auto"/>
        <w:jc w:val="both"/>
      </w:pPr>
      <w:r w:rsidRPr="00484146">
        <w:t xml:space="preserve">Despite these hurdles, </w:t>
      </w:r>
      <w:r w:rsidR="005F3664">
        <w:t>w</w:t>
      </w:r>
      <w:r w:rsidR="005C7951">
        <w:t>e</w:t>
      </w:r>
      <w:r w:rsidR="00887BD0">
        <w:t xml:space="preserve"> would like to</w:t>
      </w:r>
      <w:r w:rsidR="005C7951">
        <w:t xml:space="preserve"> highlight </w:t>
      </w:r>
      <w:r w:rsidR="000D5361">
        <w:t>practical</w:t>
      </w:r>
      <w:r w:rsidR="005C7951">
        <w:t xml:space="preserve"> contributions of hospitality</w:t>
      </w:r>
      <w:r w:rsidR="00B53147">
        <w:t xml:space="preserve"> operators</w:t>
      </w:r>
      <w:r w:rsidR="005C7951">
        <w:t xml:space="preserve"> to the circular economy:</w:t>
      </w:r>
    </w:p>
    <w:p w14:paraId="2A201BA1" w14:textId="0538E2EF" w:rsidR="00F87CFF" w:rsidRPr="00455E93" w:rsidRDefault="00F87CFF" w:rsidP="00F87CFF">
      <w:pPr>
        <w:pStyle w:val="ListParagraph"/>
        <w:numPr>
          <w:ilvl w:val="0"/>
          <w:numId w:val="14"/>
        </w:numPr>
        <w:jc w:val="both"/>
        <w:rPr>
          <w:b/>
        </w:rPr>
      </w:pPr>
      <w:commentRangeStart w:id="0"/>
      <w:r>
        <w:rPr>
          <w:b/>
        </w:rPr>
        <w:t>Example of efficient waste prevention and reduction</w:t>
      </w:r>
    </w:p>
    <w:p w14:paraId="2FF7843C" w14:textId="00AE6A5A" w:rsidR="00455E93" w:rsidRDefault="1C1F53D9" w:rsidP="00455E93">
      <w:pPr>
        <w:pStyle w:val="ListParagraph"/>
        <w:numPr>
          <w:ilvl w:val="0"/>
          <w:numId w:val="14"/>
        </w:numPr>
        <w:jc w:val="both"/>
        <w:rPr>
          <w:b/>
        </w:rPr>
      </w:pPr>
      <w:r w:rsidRPr="6EA05066">
        <w:rPr>
          <w:b/>
          <w:bCs/>
        </w:rPr>
        <w:t xml:space="preserve">Example of extending the life span of </w:t>
      </w:r>
      <w:r w:rsidR="00D24A99">
        <w:rPr>
          <w:b/>
          <w:bCs/>
        </w:rPr>
        <w:t>furniture</w:t>
      </w:r>
    </w:p>
    <w:p w14:paraId="1F601D1D" w14:textId="13A70705" w:rsidR="004C1913" w:rsidRPr="00455E93" w:rsidRDefault="00455E93" w:rsidP="00455E93">
      <w:pPr>
        <w:pStyle w:val="ListParagraph"/>
        <w:numPr>
          <w:ilvl w:val="0"/>
          <w:numId w:val="14"/>
        </w:numPr>
        <w:jc w:val="both"/>
        <w:rPr>
          <w:b/>
        </w:rPr>
      </w:pPr>
      <w:r>
        <w:rPr>
          <w:b/>
        </w:rPr>
        <w:t>Example of consumer awareness raising</w:t>
      </w:r>
      <w:commentRangeEnd w:id="0"/>
      <w:r w:rsidR="00FB55A0">
        <w:rPr>
          <w:rStyle w:val="CommentReference"/>
        </w:rPr>
        <w:commentReference w:id="0"/>
      </w:r>
    </w:p>
    <w:p w14:paraId="49FC075B" w14:textId="77777777" w:rsidR="009C13F1" w:rsidRDefault="009C13F1" w:rsidP="009C13F1">
      <w:pPr>
        <w:pStyle w:val="ListParagraph"/>
        <w:jc w:val="both"/>
      </w:pPr>
    </w:p>
    <w:p w14:paraId="3CBC59C4" w14:textId="77777777" w:rsidR="00871544" w:rsidRPr="009C13F1" w:rsidRDefault="00871544" w:rsidP="009C13F1">
      <w:pPr>
        <w:pStyle w:val="ListParagraph"/>
        <w:jc w:val="both"/>
      </w:pPr>
    </w:p>
    <w:p w14:paraId="4D70A52B" w14:textId="7D83FFC0" w:rsidR="005E47E7" w:rsidRPr="00AC1458" w:rsidRDefault="005E47E7" w:rsidP="00AC1458">
      <w:pPr>
        <w:pStyle w:val="ListParagraph"/>
        <w:numPr>
          <w:ilvl w:val="0"/>
          <w:numId w:val="4"/>
        </w:numPr>
        <w:jc w:val="both"/>
        <w:rPr>
          <w:b/>
        </w:rPr>
      </w:pPr>
      <w:r w:rsidRPr="00AC1458">
        <w:rPr>
          <w:b/>
        </w:rPr>
        <w:t>POLICY RECOMMANDATIONS</w:t>
      </w:r>
    </w:p>
    <w:p w14:paraId="4F8CA3D4" w14:textId="2DF950DB" w:rsidR="0087714C" w:rsidRPr="00A3368F" w:rsidRDefault="00CB3220" w:rsidP="001C6917">
      <w:pPr>
        <w:jc w:val="both"/>
      </w:pPr>
      <w:r w:rsidRPr="00CB3220">
        <w:t>The current circularity rate in the EU stands at 12%</w:t>
      </w:r>
      <w:r w:rsidR="00581EA0">
        <w:rPr>
          <w:rStyle w:val="FootnoteReference"/>
        </w:rPr>
        <w:footnoteReference w:id="9"/>
      </w:r>
      <w:r w:rsidRPr="00CB3220">
        <w:t xml:space="preserve">. </w:t>
      </w:r>
      <w:r w:rsidR="0087714C" w:rsidRPr="00600492">
        <w:t>HOTREC</w:t>
      </w:r>
      <w:r w:rsidR="0087714C">
        <w:t xml:space="preserve"> commits to</w:t>
      </w:r>
      <w:r w:rsidR="0087714C" w:rsidRPr="00600492">
        <w:t xml:space="preserve"> sustainable growth and environmental stewardship </w:t>
      </w:r>
      <w:r w:rsidR="0087714C">
        <w:t xml:space="preserve">by presenting </w:t>
      </w:r>
      <w:r w:rsidR="0087714C" w:rsidRPr="003C2487">
        <w:rPr>
          <w:b/>
        </w:rPr>
        <w:t xml:space="preserve">policy recommendations </w:t>
      </w:r>
      <w:r w:rsidR="003B6F9E">
        <w:t>to</w:t>
      </w:r>
      <w:r w:rsidR="003B6F9E" w:rsidRPr="003B6F9E">
        <w:t xml:space="preserve"> EU policy makers</w:t>
      </w:r>
      <w:r w:rsidR="007E6BA3">
        <w:t xml:space="preserve"> to foster circularity in the hospitality sector</w:t>
      </w:r>
      <w:r w:rsidR="003B6F9E" w:rsidRPr="003B6F9E">
        <w:t>:</w:t>
      </w:r>
    </w:p>
    <w:p w14:paraId="52B942D5" w14:textId="2F03303F" w:rsidR="0085022D" w:rsidRPr="00992CD4" w:rsidRDefault="00992CD4" w:rsidP="0028480A">
      <w:pPr>
        <w:jc w:val="both"/>
        <w:rPr>
          <w:lang w:val="en-GB"/>
        </w:rPr>
      </w:pPr>
      <w:r w:rsidRPr="497386BB">
        <w:rPr>
          <w:b/>
          <w:highlight w:val="cyan"/>
          <w:lang w:val="en-GB"/>
        </w:rPr>
        <w:t xml:space="preserve">Policy recommendation </w:t>
      </w:r>
      <w:r w:rsidR="009D37DD">
        <w:rPr>
          <w:b/>
          <w:highlight w:val="cyan"/>
          <w:lang w:val="en-GB"/>
        </w:rPr>
        <w:t>1</w:t>
      </w:r>
      <w:r w:rsidRPr="497386BB">
        <w:rPr>
          <w:b/>
          <w:highlight w:val="cyan"/>
          <w:lang w:val="en-GB"/>
        </w:rPr>
        <w:t xml:space="preserve">: </w:t>
      </w:r>
      <w:r w:rsidR="0038003F" w:rsidRPr="497386BB">
        <w:rPr>
          <w:b/>
          <w:highlight w:val="cyan"/>
          <w:lang w:val="en-GB"/>
        </w:rPr>
        <w:t xml:space="preserve">Support </w:t>
      </w:r>
      <w:r w:rsidR="003D0D88">
        <w:rPr>
          <w:b/>
          <w:highlight w:val="cyan"/>
          <w:lang w:val="en-GB"/>
        </w:rPr>
        <w:t>tailored made waste</w:t>
      </w:r>
      <w:r w:rsidR="00600492" w:rsidRPr="497386BB">
        <w:rPr>
          <w:b/>
          <w:highlight w:val="cyan"/>
          <w:lang w:val="en-GB"/>
        </w:rPr>
        <w:t xml:space="preserve"> </w:t>
      </w:r>
      <w:r w:rsidR="00393108" w:rsidRPr="00A83B4E">
        <w:rPr>
          <w:b/>
          <w:highlight w:val="cyan"/>
          <w:lang w:val="en-GB"/>
        </w:rPr>
        <w:t>c</w:t>
      </w:r>
      <w:r w:rsidR="00600492" w:rsidRPr="00A83B4E">
        <w:rPr>
          <w:b/>
          <w:highlight w:val="cyan"/>
          <w:lang w:val="en-GB"/>
        </w:rPr>
        <w:t>ollection</w:t>
      </w:r>
      <w:r w:rsidR="0032640E" w:rsidRPr="00A83B4E">
        <w:rPr>
          <w:b/>
          <w:highlight w:val="cyan"/>
          <w:lang w:val="en-GB"/>
        </w:rPr>
        <w:t xml:space="preserve"> </w:t>
      </w:r>
      <w:r w:rsidR="003D0D88">
        <w:rPr>
          <w:b/>
          <w:highlight w:val="cyan"/>
          <w:lang w:val="en-GB"/>
        </w:rPr>
        <w:t>for</w:t>
      </w:r>
      <w:r w:rsidR="0032640E" w:rsidRPr="00A83B4E">
        <w:rPr>
          <w:b/>
          <w:highlight w:val="cyan"/>
          <w:lang w:val="en-GB"/>
        </w:rPr>
        <w:t xml:space="preserve"> hospitality</w:t>
      </w:r>
      <w:r w:rsidR="0032640E" w:rsidRPr="497386BB">
        <w:rPr>
          <w:highlight w:val="cyan"/>
          <w:lang w:val="en-GB"/>
        </w:rPr>
        <w:t>:</w:t>
      </w:r>
      <w:r w:rsidR="00600492" w:rsidRPr="497386BB">
        <w:rPr>
          <w:lang w:val="en-GB"/>
        </w:rPr>
        <w:t xml:space="preserve"> </w:t>
      </w:r>
    </w:p>
    <w:p w14:paraId="5E71CEFB" w14:textId="3DCF3A1A" w:rsidR="006029DE" w:rsidRDefault="00850B05" w:rsidP="00DE57FD">
      <w:pPr>
        <w:pStyle w:val="ListParagraph"/>
        <w:numPr>
          <w:ilvl w:val="0"/>
          <w:numId w:val="11"/>
        </w:numPr>
        <w:jc w:val="both"/>
      </w:pPr>
      <w:r w:rsidRPr="00850B05">
        <w:rPr>
          <w:b/>
          <w:bCs/>
        </w:rPr>
        <w:t xml:space="preserve">Consider the complexity of managing different waste streams, </w:t>
      </w:r>
      <w:r w:rsidRPr="006029DE">
        <w:t>such as refillable or single use,</w:t>
      </w:r>
      <w:r w:rsidR="006029DE" w:rsidRPr="006029DE">
        <w:t xml:space="preserve"> organic or non-organic waste </w:t>
      </w:r>
      <w:r w:rsidRPr="006029DE">
        <w:t>and high costs of separate waste collection</w:t>
      </w:r>
      <w:r w:rsidR="00BE518F">
        <w:t xml:space="preserve"> subject to seasonal fluctuations and consumer behavior</w:t>
      </w:r>
      <w:r w:rsidRPr="006029DE">
        <w:t>.</w:t>
      </w:r>
    </w:p>
    <w:p w14:paraId="617A02FA" w14:textId="4FF96567" w:rsidR="00FB3D52" w:rsidRPr="00FB3D52" w:rsidRDefault="007240BE" w:rsidP="00DE57FD">
      <w:pPr>
        <w:pStyle w:val="ListParagraph"/>
        <w:numPr>
          <w:ilvl w:val="0"/>
          <w:numId w:val="11"/>
        </w:numPr>
        <w:jc w:val="both"/>
      </w:pPr>
      <w:r>
        <w:rPr>
          <w:b/>
          <w:bCs/>
          <w:lang w:val="en-GB"/>
        </w:rPr>
        <w:t>Promote</w:t>
      </w:r>
      <w:r w:rsidR="004D446E" w:rsidRPr="00104174">
        <w:rPr>
          <w:b/>
          <w:bCs/>
          <w:lang w:val="en-GB"/>
        </w:rPr>
        <w:t xml:space="preserve"> f</w:t>
      </w:r>
      <w:r w:rsidR="00600492" w:rsidRPr="00104174">
        <w:rPr>
          <w:b/>
          <w:bCs/>
          <w:lang w:val="en-GB"/>
        </w:rPr>
        <w:t xml:space="preserve">requent door-to-door </w:t>
      </w:r>
      <w:r w:rsidR="008A18F6">
        <w:rPr>
          <w:b/>
          <w:bCs/>
          <w:lang w:val="en-GB"/>
        </w:rPr>
        <w:t xml:space="preserve">separate </w:t>
      </w:r>
      <w:r w:rsidR="00600492" w:rsidRPr="00104174">
        <w:rPr>
          <w:b/>
          <w:bCs/>
          <w:lang w:val="en-GB"/>
        </w:rPr>
        <w:t>collection</w:t>
      </w:r>
      <w:r w:rsidR="00E744D3" w:rsidRPr="00104174">
        <w:rPr>
          <w:b/>
          <w:bCs/>
          <w:lang w:val="en-GB"/>
        </w:rPr>
        <w:t xml:space="preserve"> of waste</w:t>
      </w:r>
      <w:r w:rsidR="00FB3D52">
        <w:rPr>
          <w:b/>
          <w:bCs/>
          <w:lang w:val="en-GB"/>
        </w:rPr>
        <w:t xml:space="preserve"> in hospitality</w:t>
      </w:r>
      <w:r w:rsidR="008F3AA4">
        <w:rPr>
          <w:lang w:val="en-GB"/>
        </w:rPr>
        <w:t xml:space="preserve"> </w:t>
      </w:r>
    </w:p>
    <w:p w14:paraId="15EFF283" w14:textId="720771D6" w:rsidR="00EA21CF" w:rsidRPr="00EA21CF" w:rsidRDefault="008148F7" w:rsidP="00FB3D52">
      <w:pPr>
        <w:pStyle w:val="ListParagraph"/>
        <w:numPr>
          <w:ilvl w:val="1"/>
          <w:numId w:val="11"/>
        </w:numPr>
        <w:jc w:val="both"/>
      </w:pPr>
      <w:r>
        <w:rPr>
          <w:lang w:val="en-GB"/>
        </w:rPr>
        <w:t xml:space="preserve">Due to </w:t>
      </w:r>
      <w:r w:rsidR="008A7C27">
        <w:rPr>
          <w:lang w:val="en-GB"/>
        </w:rPr>
        <w:t xml:space="preserve">limited space to </w:t>
      </w:r>
      <w:r>
        <w:rPr>
          <w:lang w:val="en-GB"/>
        </w:rPr>
        <w:t>sto</w:t>
      </w:r>
      <w:r w:rsidR="008A7C27">
        <w:rPr>
          <w:lang w:val="en-GB"/>
        </w:rPr>
        <w:t>re</w:t>
      </w:r>
      <w:r w:rsidR="00FB3D52">
        <w:rPr>
          <w:lang w:val="en-GB"/>
        </w:rPr>
        <w:t xml:space="preserve"> all types of waste</w:t>
      </w:r>
      <w:r w:rsidR="008A7C27">
        <w:rPr>
          <w:lang w:val="en-GB"/>
        </w:rPr>
        <w:t xml:space="preserve"> in restaurants and cafés</w:t>
      </w:r>
      <w:r w:rsidR="00FB3D52">
        <w:rPr>
          <w:lang w:val="en-GB"/>
        </w:rPr>
        <w:t xml:space="preserve"> - </w:t>
      </w:r>
      <w:r w:rsidR="008A7C27">
        <w:rPr>
          <w:lang w:val="en-GB"/>
        </w:rPr>
        <w:t>even more in urban areas</w:t>
      </w:r>
      <w:r w:rsidR="00FB3D52">
        <w:rPr>
          <w:lang w:val="en-GB"/>
        </w:rPr>
        <w:t xml:space="preserve"> - </w:t>
      </w:r>
      <w:r>
        <w:rPr>
          <w:lang w:val="en-GB"/>
        </w:rPr>
        <w:t>and variations in waste volumes</w:t>
      </w:r>
      <w:r w:rsidR="008A7C27">
        <w:rPr>
          <w:rStyle w:val="FootnoteReference"/>
          <w:lang w:val="en-GB"/>
        </w:rPr>
        <w:footnoteReference w:id="10"/>
      </w:r>
      <w:r>
        <w:rPr>
          <w:lang w:val="en-GB"/>
        </w:rPr>
        <w:t xml:space="preserve">, </w:t>
      </w:r>
      <w:r w:rsidR="008A7C27">
        <w:rPr>
          <w:lang w:val="en-GB"/>
        </w:rPr>
        <w:t xml:space="preserve">it’s essential to </w:t>
      </w:r>
      <w:r w:rsidR="00A16937">
        <w:rPr>
          <w:lang w:val="en-GB"/>
        </w:rPr>
        <w:t xml:space="preserve">support </w:t>
      </w:r>
      <w:r>
        <w:rPr>
          <w:lang w:val="en-GB"/>
        </w:rPr>
        <w:t>frequent collection of waste</w:t>
      </w:r>
      <w:r w:rsidR="009A6AF5">
        <w:rPr>
          <w:lang w:val="en-GB"/>
        </w:rPr>
        <w:t xml:space="preserve"> in our establishments</w:t>
      </w:r>
      <w:r>
        <w:rPr>
          <w:lang w:val="en-GB"/>
        </w:rPr>
        <w:t>.</w:t>
      </w:r>
    </w:p>
    <w:p w14:paraId="16D13F07" w14:textId="399CA509" w:rsidR="00E744D3" w:rsidRPr="00DE57FD" w:rsidRDefault="008F3AA4" w:rsidP="00FB3D52">
      <w:pPr>
        <w:pStyle w:val="ListParagraph"/>
        <w:numPr>
          <w:ilvl w:val="1"/>
          <w:numId w:val="11"/>
        </w:numPr>
        <w:jc w:val="both"/>
      </w:pPr>
      <w:r>
        <w:rPr>
          <w:lang w:val="en-GB"/>
        </w:rPr>
        <w:t>D</w:t>
      </w:r>
      <w:r w:rsidRPr="008F3AA4">
        <w:rPr>
          <w:lang w:val="en-GB"/>
        </w:rPr>
        <w:t xml:space="preserve">oor-to-door collection systems </w:t>
      </w:r>
      <w:r w:rsidR="00613108">
        <w:rPr>
          <w:lang w:val="en-GB"/>
        </w:rPr>
        <w:t>show positive results across Europe</w:t>
      </w:r>
      <w:r w:rsidR="00613108">
        <w:rPr>
          <w:rStyle w:val="FootnoteReference"/>
          <w:lang w:val="en-GB"/>
        </w:rPr>
        <w:footnoteReference w:id="11"/>
      </w:r>
      <w:r w:rsidR="00613108">
        <w:t xml:space="preserve"> </w:t>
      </w:r>
      <w:r w:rsidR="00F30840">
        <w:rPr>
          <w:rStyle w:val="FootnoteReference"/>
          <w:lang w:val="en-GB"/>
        </w:rPr>
        <w:footnoteReference w:id="12"/>
      </w:r>
      <w:r w:rsidRPr="008F3AA4">
        <w:rPr>
          <w:lang w:val="en-GB"/>
        </w:rPr>
        <w:t xml:space="preserve">to </w:t>
      </w:r>
      <w:r w:rsidRPr="008F3AA4">
        <w:t>achieve the highest recycling rates and high-quality recyclables</w:t>
      </w:r>
      <w:r w:rsidR="00613108">
        <w:rPr>
          <w:lang w:val="en-GB"/>
        </w:rPr>
        <w:t xml:space="preserve">. </w:t>
      </w:r>
      <w:r w:rsidR="00D0391C">
        <w:rPr>
          <w:lang w:val="en-GB"/>
        </w:rPr>
        <w:t xml:space="preserve">However, </w:t>
      </w:r>
      <w:r w:rsidR="00600492" w:rsidRPr="4E773A9B">
        <w:rPr>
          <w:lang w:val="en-GB"/>
        </w:rPr>
        <w:t xml:space="preserve">Deposit Return Schemes (DRS) </w:t>
      </w:r>
      <w:r>
        <w:rPr>
          <w:lang w:val="en-GB"/>
        </w:rPr>
        <w:t xml:space="preserve">or conventional public waste containers </w:t>
      </w:r>
      <w:r w:rsidR="00613108">
        <w:rPr>
          <w:lang w:val="en-GB"/>
        </w:rPr>
        <w:t>constitute</w:t>
      </w:r>
      <w:r w:rsidR="00D0391C">
        <w:rPr>
          <w:lang w:val="en-GB"/>
        </w:rPr>
        <w:t xml:space="preserve"> </w:t>
      </w:r>
      <w:r w:rsidR="00613108">
        <w:rPr>
          <w:lang w:val="en-GB"/>
        </w:rPr>
        <w:t>barriers</w:t>
      </w:r>
      <w:r w:rsidR="00600492" w:rsidRPr="4E773A9B">
        <w:rPr>
          <w:lang w:val="en-GB"/>
        </w:rPr>
        <w:t xml:space="preserve"> for the </w:t>
      </w:r>
      <w:r w:rsidR="00E744D3">
        <w:rPr>
          <w:lang w:val="en-GB"/>
        </w:rPr>
        <w:t xml:space="preserve">hospitality </w:t>
      </w:r>
      <w:r w:rsidR="00600492" w:rsidRPr="4E773A9B">
        <w:rPr>
          <w:lang w:val="en-GB"/>
        </w:rPr>
        <w:t>sector.</w:t>
      </w:r>
    </w:p>
    <w:p w14:paraId="78C810EE" w14:textId="449F6AD9" w:rsidR="00AB4B87" w:rsidRPr="00AB4B87" w:rsidRDefault="00E744D3" w:rsidP="00BE070C">
      <w:pPr>
        <w:pStyle w:val="ListParagraph"/>
        <w:numPr>
          <w:ilvl w:val="0"/>
          <w:numId w:val="11"/>
        </w:numPr>
        <w:jc w:val="both"/>
        <w:rPr>
          <w:b/>
          <w:bCs/>
        </w:rPr>
      </w:pPr>
      <w:r w:rsidRPr="00104174">
        <w:rPr>
          <w:b/>
          <w:bCs/>
          <w:lang w:val="en-GB"/>
        </w:rPr>
        <w:t>Do not include</w:t>
      </w:r>
      <w:r w:rsidR="00723795" w:rsidRPr="00104174">
        <w:rPr>
          <w:b/>
          <w:bCs/>
          <w:lang w:val="en-GB"/>
        </w:rPr>
        <w:t xml:space="preserve"> </w:t>
      </w:r>
      <w:r w:rsidR="00BE070C" w:rsidRPr="00104174">
        <w:rPr>
          <w:b/>
          <w:bCs/>
          <w:lang w:val="en-GB"/>
        </w:rPr>
        <w:t>hospitality in</w:t>
      </w:r>
      <w:r w:rsidR="00723795" w:rsidRPr="00104174">
        <w:rPr>
          <w:b/>
          <w:bCs/>
          <w:lang w:val="en-GB"/>
        </w:rPr>
        <w:t xml:space="preserve"> the scope of </w:t>
      </w:r>
      <w:r w:rsidR="003052E5" w:rsidRPr="00104174">
        <w:rPr>
          <w:b/>
          <w:bCs/>
        </w:rPr>
        <w:t>Extended Producer Responsibility (EPR)</w:t>
      </w:r>
      <w:r w:rsidR="003052E5">
        <w:t xml:space="preserve"> </w:t>
      </w:r>
    </w:p>
    <w:p w14:paraId="019DB845" w14:textId="61B998DC" w:rsidR="00AB4B87" w:rsidRPr="00AB4B87" w:rsidRDefault="00C34837" w:rsidP="00AB4B87">
      <w:pPr>
        <w:pStyle w:val="ListParagraph"/>
        <w:numPr>
          <w:ilvl w:val="1"/>
          <w:numId w:val="11"/>
        </w:numPr>
        <w:jc w:val="both"/>
        <w:rPr>
          <w:b/>
          <w:bCs/>
        </w:rPr>
      </w:pPr>
      <w:r w:rsidRPr="00BE070C">
        <w:rPr>
          <w:lang w:val="en-GB"/>
        </w:rPr>
        <w:t>Hospitality operators should not be considered as ‘producers</w:t>
      </w:r>
      <w:r w:rsidR="0029312C" w:rsidRPr="00BE070C">
        <w:rPr>
          <w:lang w:val="en-GB"/>
        </w:rPr>
        <w:t>’ unlike manufacturers</w:t>
      </w:r>
      <w:r w:rsidR="00C53F91">
        <w:rPr>
          <w:lang w:val="en-GB"/>
        </w:rPr>
        <w:t xml:space="preserve"> responsible for the end of life of products that they place on the market</w:t>
      </w:r>
      <w:r w:rsidR="0029312C" w:rsidRPr="00BE070C">
        <w:rPr>
          <w:lang w:val="en-GB"/>
        </w:rPr>
        <w:t>.</w:t>
      </w:r>
      <w:r w:rsidR="004A6CE7" w:rsidRPr="00BE070C">
        <w:rPr>
          <w:lang w:val="en-GB"/>
        </w:rPr>
        <w:t xml:space="preserve"> </w:t>
      </w:r>
      <w:r w:rsidR="00CB0983">
        <w:rPr>
          <w:lang w:val="en-GB"/>
        </w:rPr>
        <w:t xml:space="preserve">Hospitality </w:t>
      </w:r>
      <w:r w:rsidR="004A6CE7" w:rsidRPr="00BE070C">
        <w:rPr>
          <w:lang w:val="en-GB"/>
        </w:rPr>
        <w:t>risk</w:t>
      </w:r>
      <w:r w:rsidR="00301FB6">
        <w:rPr>
          <w:lang w:val="en-GB"/>
        </w:rPr>
        <w:t>s</w:t>
      </w:r>
      <w:r w:rsidR="004A6CE7" w:rsidRPr="00BE070C">
        <w:rPr>
          <w:lang w:val="en-GB"/>
        </w:rPr>
        <w:t xml:space="preserve"> being double charged</w:t>
      </w:r>
      <w:r w:rsidR="000B52FA" w:rsidRPr="00BE070C">
        <w:rPr>
          <w:lang w:val="en-GB"/>
        </w:rPr>
        <w:t xml:space="preserve"> by private waste collection fee</w:t>
      </w:r>
      <w:r w:rsidR="000F1D91">
        <w:rPr>
          <w:lang w:val="en-GB"/>
        </w:rPr>
        <w:t>s</w:t>
      </w:r>
      <w:r w:rsidR="000B52FA" w:rsidRPr="00BE070C">
        <w:rPr>
          <w:lang w:val="en-GB"/>
        </w:rPr>
        <w:t xml:space="preserve"> on top of EPR fees</w:t>
      </w:r>
      <w:r w:rsidR="000B52FA" w:rsidRPr="00BE070C">
        <w:rPr>
          <w:rStyle w:val="FootnoteReference"/>
        </w:rPr>
        <w:footnoteReference w:id="13"/>
      </w:r>
      <w:r w:rsidR="000B52FA" w:rsidRPr="00BE070C">
        <w:rPr>
          <w:lang w:val="en-GB"/>
        </w:rPr>
        <w:t>.</w:t>
      </w:r>
    </w:p>
    <w:p w14:paraId="7066D22C" w14:textId="77777777" w:rsidR="00AB4B87" w:rsidRPr="00AB4B87" w:rsidRDefault="03DD34D9" w:rsidP="00AB4B87">
      <w:pPr>
        <w:pStyle w:val="ListParagraph"/>
        <w:numPr>
          <w:ilvl w:val="1"/>
          <w:numId w:val="11"/>
        </w:numPr>
        <w:jc w:val="both"/>
        <w:rPr>
          <w:b/>
          <w:bCs/>
        </w:rPr>
      </w:pPr>
      <w:r w:rsidRPr="00AB4B87">
        <w:lastRenderedPageBreak/>
        <w:t>Avoid fragmentation</w:t>
      </w:r>
      <w:r w:rsidR="00D25D4F" w:rsidRPr="00AB4B87">
        <w:t xml:space="preserve"> and inconsistencies </w:t>
      </w:r>
      <w:r w:rsidR="00DE70BD" w:rsidRPr="00AB4B87">
        <w:t xml:space="preserve">of </w:t>
      </w:r>
      <w:r w:rsidR="00D25D4F" w:rsidRPr="00AB4B87">
        <w:t>EPR</w:t>
      </w:r>
      <w:r w:rsidRPr="00AB4B87">
        <w:t xml:space="preserve"> schemes</w:t>
      </w:r>
      <w:r w:rsidR="00DE70BD" w:rsidRPr="002F1105">
        <w:t xml:space="preserve"> and </w:t>
      </w:r>
      <w:r w:rsidR="003052E5">
        <w:t>‘</w:t>
      </w:r>
      <w:r w:rsidR="00DE70BD" w:rsidRPr="002F1105">
        <w:t>polluter pay</w:t>
      </w:r>
      <w:r w:rsidR="003052E5">
        <w:t>’</w:t>
      </w:r>
      <w:r w:rsidR="00DE70BD" w:rsidRPr="002F1105">
        <w:t xml:space="preserve"> principles in the EU</w:t>
      </w:r>
      <w:r w:rsidR="003F46EF">
        <w:rPr>
          <w:rStyle w:val="FootnoteReference"/>
        </w:rPr>
        <w:footnoteReference w:id="14"/>
      </w:r>
      <w:r w:rsidRPr="002F1105">
        <w:t>.</w:t>
      </w:r>
      <w:r w:rsidR="1DDE50B0" w:rsidRPr="002F1105">
        <w:t xml:space="preserve"> </w:t>
      </w:r>
    </w:p>
    <w:p w14:paraId="17A05EB9" w14:textId="31E3190C" w:rsidR="006A7597" w:rsidRPr="00AB4B87" w:rsidRDefault="00D25D4F" w:rsidP="00AB4B87">
      <w:pPr>
        <w:pStyle w:val="ListParagraph"/>
        <w:numPr>
          <w:ilvl w:val="1"/>
          <w:numId w:val="11"/>
        </w:numPr>
        <w:jc w:val="both"/>
        <w:rPr>
          <w:b/>
          <w:bCs/>
        </w:rPr>
      </w:pPr>
      <w:r w:rsidRPr="00AB4B87">
        <w:t>E</w:t>
      </w:r>
      <w:r w:rsidR="00DE70BD" w:rsidRPr="00AB4B87">
        <w:t>ncourage p</w:t>
      </w:r>
      <w:r w:rsidR="1DDE50B0" w:rsidRPr="00AB4B87">
        <w:t>rivate run</w:t>
      </w:r>
      <w:r w:rsidR="002705F6" w:rsidRPr="00AB4B87">
        <w:t>-</w:t>
      </w:r>
      <w:r w:rsidR="1DDE50B0" w:rsidRPr="00AB4B87">
        <w:t xml:space="preserve">EPR </w:t>
      </w:r>
      <w:r w:rsidR="002F1105" w:rsidRPr="00AB4B87">
        <w:t>ensuring effective in</w:t>
      </w:r>
      <w:r w:rsidR="0037652D" w:rsidRPr="00AB4B87">
        <w:t>v</w:t>
      </w:r>
      <w:r w:rsidR="002F1105" w:rsidRPr="00AB4B87">
        <w:t>estment</w:t>
      </w:r>
      <w:r w:rsidR="003052E5" w:rsidRPr="00AB4B87">
        <w:t xml:space="preserve"> in</w:t>
      </w:r>
      <w:r w:rsidR="002F1105" w:rsidRPr="00AB4B87">
        <w:t xml:space="preserve"> separate waste collection and recycling</w:t>
      </w:r>
      <w:r w:rsidR="003052E5" w:rsidRPr="00AB4B87">
        <w:rPr>
          <w:rStyle w:val="FootnoteReference"/>
        </w:rPr>
        <w:footnoteReference w:id="15"/>
      </w:r>
      <w:r w:rsidR="003052E5" w:rsidRPr="00AB4B87">
        <w:t>.</w:t>
      </w:r>
      <w:r w:rsidR="00AB4B87">
        <w:t xml:space="preserve"> </w:t>
      </w:r>
      <w:r w:rsidR="00443D06" w:rsidRPr="00443D06">
        <w:t>The opposite scenario could hinder recycling efficiency, limit packaging choices, and increase packaging costs for the hospitality sector due to the mandatory recyclability of all packaging by 2030 as stipulated in the PPWR.</w:t>
      </w:r>
    </w:p>
    <w:p w14:paraId="58BA2412" w14:textId="282A0977" w:rsidR="002771EA" w:rsidRPr="009D37DD" w:rsidRDefault="006A7597" w:rsidP="006A7597">
      <w:pPr>
        <w:pStyle w:val="ListParagraph"/>
        <w:numPr>
          <w:ilvl w:val="0"/>
          <w:numId w:val="11"/>
        </w:numPr>
        <w:jc w:val="both"/>
        <w:rPr>
          <w:b/>
          <w:bCs/>
        </w:rPr>
      </w:pPr>
      <w:r w:rsidRPr="00104174">
        <w:rPr>
          <w:b/>
          <w:bCs/>
        </w:rPr>
        <w:t xml:space="preserve">Support </w:t>
      </w:r>
      <w:r w:rsidRPr="00104174">
        <w:rPr>
          <w:rFonts w:ascii="Segoe UI" w:hAnsi="Segoe UI" w:cs="Segoe UI"/>
          <w:b/>
          <w:bCs/>
          <w:sz w:val="21"/>
          <w:szCs w:val="21"/>
          <w:shd w:val="clear" w:color="auto" w:fill="FFFFFF"/>
          <w:lang w:val="en-GB"/>
        </w:rPr>
        <w:t>h</w:t>
      </w:r>
      <w:r w:rsidR="0085022D" w:rsidRPr="00104174">
        <w:rPr>
          <w:b/>
          <w:bCs/>
          <w:lang w:val="en-GB"/>
        </w:rPr>
        <w:t xml:space="preserve">armonised </w:t>
      </w:r>
      <w:r w:rsidR="00431FB9" w:rsidRPr="00104174">
        <w:rPr>
          <w:b/>
          <w:bCs/>
          <w:lang w:val="en-GB"/>
        </w:rPr>
        <w:t xml:space="preserve">and comprehensible </w:t>
      </w:r>
      <w:r w:rsidR="0085022D" w:rsidRPr="00104174">
        <w:rPr>
          <w:b/>
          <w:bCs/>
          <w:lang w:val="en-GB"/>
        </w:rPr>
        <w:t>waste sorting instructions for packaging</w:t>
      </w:r>
      <w:r>
        <w:rPr>
          <w:rStyle w:val="FootnoteReference"/>
        </w:rPr>
        <w:footnoteReference w:id="16"/>
      </w:r>
      <w:r w:rsidR="0031519F">
        <w:t xml:space="preserve"> H</w:t>
      </w:r>
      <w:proofErr w:type="spellStart"/>
      <w:r w:rsidR="0031519F">
        <w:rPr>
          <w:lang w:val="en-GB"/>
        </w:rPr>
        <w:t>armonised</w:t>
      </w:r>
      <w:proofErr w:type="spellEnd"/>
      <w:r w:rsidR="0031519F">
        <w:rPr>
          <w:lang w:val="en-GB"/>
        </w:rPr>
        <w:t xml:space="preserve"> and clear</w:t>
      </w:r>
      <w:r w:rsidR="00647758" w:rsidRPr="006A7597">
        <w:rPr>
          <w:lang w:val="en-GB"/>
        </w:rPr>
        <w:t xml:space="preserve"> information to consumers on how to sort packaging waste</w:t>
      </w:r>
      <w:r w:rsidR="00EE26D1" w:rsidRPr="006A7597">
        <w:rPr>
          <w:lang w:val="en-GB"/>
        </w:rPr>
        <w:t xml:space="preserve"> and facilitate waste management by </w:t>
      </w:r>
      <w:r w:rsidRPr="006A7597">
        <w:rPr>
          <w:lang w:val="en-GB"/>
        </w:rPr>
        <w:t xml:space="preserve">hospitality </w:t>
      </w:r>
      <w:r w:rsidR="00EE26D1" w:rsidRPr="006A7597">
        <w:rPr>
          <w:lang w:val="en-GB"/>
        </w:rPr>
        <w:t>staff</w:t>
      </w:r>
      <w:r w:rsidR="00BB085D">
        <w:rPr>
          <w:lang w:val="en-GB"/>
        </w:rPr>
        <w:t xml:space="preserve"> and consumers. It will contribute to </w:t>
      </w:r>
      <w:r w:rsidR="0031519F">
        <w:rPr>
          <w:lang w:val="en-GB"/>
        </w:rPr>
        <w:t>i</w:t>
      </w:r>
      <w:r w:rsidR="0031519F" w:rsidRPr="006A7597">
        <w:rPr>
          <w:lang w:val="en-GB"/>
        </w:rPr>
        <w:t>mprove packaging recyclability rates</w:t>
      </w:r>
      <w:r w:rsidR="0031519F">
        <w:rPr>
          <w:lang w:val="en-GB"/>
        </w:rPr>
        <w:t xml:space="preserve"> across the EU.</w:t>
      </w:r>
    </w:p>
    <w:p w14:paraId="3DE990E2" w14:textId="6FA3A0A1" w:rsidR="00434FB6" w:rsidRDefault="00F076A4" w:rsidP="0028480A">
      <w:pPr>
        <w:jc w:val="both"/>
      </w:pPr>
      <w:r w:rsidRPr="004348C5">
        <w:rPr>
          <w:b/>
          <w:highlight w:val="cyan"/>
        </w:rPr>
        <w:t xml:space="preserve">Policy recommendation </w:t>
      </w:r>
      <w:r w:rsidR="00956E63">
        <w:rPr>
          <w:b/>
          <w:highlight w:val="cyan"/>
        </w:rPr>
        <w:t>2</w:t>
      </w:r>
      <w:r w:rsidRPr="004348C5">
        <w:rPr>
          <w:b/>
          <w:highlight w:val="cyan"/>
        </w:rPr>
        <w:t xml:space="preserve">: </w:t>
      </w:r>
      <w:r w:rsidR="00255621">
        <w:rPr>
          <w:b/>
          <w:highlight w:val="cyan"/>
        </w:rPr>
        <w:t>Promote</w:t>
      </w:r>
      <w:r w:rsidR="00241FC6" w:rsidRPr="004348C5">
        <w:rPr>
          <w:b/>
          <w:highlight w:val="cyan"/>
        </w:rPr>
        <w:t xml:space="preserve"> food waste reductio</w:t>
      </w:r>
      <w:r w:rsidR="00241FC6" w:rsidRPr="007E65A2">
        <w:rPr>
          <w:b/>
          <w:highlight w:val="cyan"/>
        </w:rPr>
        <w:t>n</w:t>
      </w:r>
      <w:r w:rsidR="00255621" w:rsidRPr="007E65A2">
        <w:rPr>
          <w:b/>
          <w:highlight w:val="cyan"/>
        </w:rPr>
        <w:t xml:space="preserve"> </w:t>
      </w:r>
      <w:r w:rsidR="007E65A2" w:rsidRPr="007E65A2">
        <w:rPr>
          <w:b/>
          <w:highlight w:val="cyan"/>
        </w:rPr>
        <w:t>measures tailored to hospitality</w:t>
      </w:r>
    </w:p>
    <w:p w14:paraId="6ED082A7" w14:textId="04F55D8E" w:rsidR="00434FB6" w:rsidRDefault="007D1C4E" w:rsidP="0028480A">
      <w:pPr>
        <w:pStyle w:val="ListParagraph"/>
        <w:numPr>
          <w:ilvl w:val="0"/>
          <w:numId w:val="12"/>
        </w:numPr>
        <w:jc w:val="both"/>
        <w:rPr>
          <w:lang w:val="en-GB"/>
        </w:rPr>
      </w:pPr>
      <w:r w:rsidRPr="1B474FE3">
        <w:rPr>
          <w:b/>
          <w:lang w:val="en-GB"/>
        </w:rPr>
        <w:t xml:space="preserve">Allow separating edible and non-edible food waste in measurements. </w:t>
      </w:r>
      <w:r w:rsidRPr="1B474FE3">
        <w:rPr>
          <w:lang w:val="en-GB"/>
        </w:rPr>
        <w:t>In Sweden</w:t>
      </w:r>
      <w:r w:rsidR="00255621">
        <w:rPr>
          <w:lang w:val="en-GB"/>
        </w:rPr>
        <w:t>,</w:t>
      </w:r>
      <w:r w:rsidRPr="1B474FE3">
        <w:rPr>
          <w:lang w:val="en-GB"/>
        </w:rPr>
        <w:t xml:space="preserve"> in 2024, only 25% of the food wasted in hotels and restaurants was edible (unlike 100% in retail). </w:t>
      </w:r>
      <w:r w:rsidR="00F076A4" w:rsidRPr="1B474FE3">
        <w:rPr>
          <w:lang w:val="en-GB"/>
        </w:rPr>
        <w:t xml:space="preserve">We call on the Commission to </w:t>
      </w:r>
      <w:r w:rsidR="00023F05" w:rsidRPr="1B474FE3">
        <w:rPr>
          <w:lang w:val="en-GB"/>
        </w:rPr>
        <w:t>separate</w:t>
      </w:r>
      <w:r w:rsidR="00F076A4" w:rsidRPr="1B474FE3">
        <w:rPr>
          <w:lang w:val="en-GB"/>
        </w:rPr>
        <w:t xml:space="preserve"> edible </w:t>
      </w:r>
      <w:r w:rsidR="00023F05" w:rsidRPr="1B474FE3">
        <w:rPr>
          <w:lang w:val="en-GB"/>
        </w:rPr>
        <w:t>from</w:t>
      </w:r>
      <w:r w:rsidR="00F076A4" w:rsidRPr="1B474FE3">
        <w:rPr>
          <w:lang w:val="en-GB"/>
        </w:rPr>
        <w:t xml:space="preserve"> </w:t>
      </w:r>
      <w:r w:rsidR="00F4129D" w:rsidRPr="1B474FE3">
        <w:rPr>
          <w:lang w:val="en-GB"/>
        </w:rPr>
        <w:t>non-edible</w:t>
      </w:r>
      <w:r w:rsidR="00F076A4" w:rsidRPr="1B474FE3">
        <w:rPr>
          <w:lang w:val="en-GB"/>
        </w:rPr>
        <w:t xml:space="preserve"> food waste </w:t>
      </w:r>
      <w:r w:rsidR="00023F05" w:rsidRPr="1B474FE3">
        <w:rPr>
          <w:lang w:val="en-GB"/>
        </w:rPr>
        <w:t xml:space="preserve">in </w:t>
      </w:r>
      <w:r w:rsidR="00103F63" w:rsidRPr="1B474FE3">
        <w:rPr>
          <w:lang w:val="en-GB"/>
        </w:rPr>
        <w:t xml:space="preserve">measurements </w:t>
      </w:r>
      <w:r w:rsidR="00F076A4" w:rsidRPr="1B474FE3">
        <w:rPr>
          <w:lang w:val="en-GB"/>
        </w:rPr>
        <w:t xml:space="preserve">during the </w:t>
      </w:r>
      <w:r w:rsidRPr="1B474FE3">
        <w:rPr>
          <w:lang w:val="en-GB"/>
        </w:rPr>
        <w:t>review</w:t>
      </w:r>
      <w:r w:rsidR="00F076A4" w:rsidRPr="1B474FE3">
        <w:rPr>
          <w:lang w:val="en-GB"/>
        </w:rPr>
        <w:t xml:space="preserve"> of the waste </w:t>
      </w:r>
      <w:r w:rsidR="00F4129D" w:rsidRPr="1B474FE3">
        <w:rPr>
          <w:lang w:val="en-GB"/>
        </w:rPr>
        <w:t>framework</w:t>
      </w:r>
      <w:r w:rsidR="00F076A4" w:rsidRPr="1B474FE3">
        <w:rPr>
          <w:lang w:val="en-GB"/>
        </w:rPr>
        <w:t xml:space="preserve"> directive</w:t>
      </w:r>
      <w:r w:rsidRPr="1B474FE3">
        <w:rPr>
          <w:lang w:val="en-GB"/>
        </w:rPr>
        <w:t xml:space="preserve"> foreseen in 2027</w:t>
      </w:r>
      <w:r w:rsidR="00F076A4" w:rsidRPr="1B474FE3">
        <w:rPr>
          <w:lang w:val="en-GB"/>
        </w:rPr>
        <w:t xml:space="preserve">. </w:t>
      </w:r>
      <w:r w:rsidR="00103F63" w:rsidRPr="1B474FE3">
        <w:rPr>
          <w:lang w:val="en-GB"/>
        </w:rPr>
        <w:t xml:space="preserve">This level of granularity </w:t>
      </w:r>
      <w:r w:rsidR="00A971B9" w:rsidRPr="1B474FE3">
        <w:rPr>
          <w:lang w:val="en-GB"/>
        </w:rPr>
        <w:t>will help capture a more accurate picture of the sectorial situation and then adopt the most appropriate measures.</w:t>
      </w:r>
    </w:p>
    <w:p w14:paraId="1DB3EE96" w14:textId="6CB560FB" w:rsidR="00434FB6" w:rsidRPr="0071506C" w:rsidRDefault="00243D75" w:rsidP="0071506C">
      <w:pPr>
        <w:pStyle w:val="ListParagraph"/>
        <w:numPr>
          <w:ilvl w:val="0"/>
          <w:numId w:val="12"/>
        </w:numPr>
        <w:jc w:val="both"/>
        <w:rPr>
          <w:lang w:val="en-GB"/>
        </w:rPr>
      </w:pPr>
      <w:r w:rsidRPr="1B474FE3">
        <w:rPr>
          <w:b/>
          <w:lang w:val="en-GB"/>
        </w:rPr>
        <w:t>Consider tailored solutions to facilitate the donation</w:t>
      </w:r>
      <w:r w:rsidRPr="1B474FE3">
        <w:rPr>
          <w:lang w:val="en-GB"/>
        </w:rPr>
        <w:t xml:space="preserve"> </w:t>
      </w:r>
      <w:r w:rsidRPr="1B474FE3">
        <w:rPr>
          <w:b/>
          <w:lang w:val="en-GB"/>
        </w:rPr>
        <w:t xml:space="preserve">of unsold food </w:t>
      </w:r>
      <w:r w:rsidRPr="1B474FE3">
        <w:rPr>
          <w:lang w:val="en-GB"/>
        </w:rPr>
        <w:t>that is safe for human consumption in hospitality.</w:t>
      </w:r>
      <w:r w:rsidR="00364E2B" w:rsidRPr="1B474FE3">
        <w:rPr>
          <w:lang w:val="en-GB"/>
        </w:rPr>
        <w:t xml:space="preserve"> </w:t>
      </w:r>
      <w:r w:rsidR="001F70C9" w:rsidRPr="1B474FE3">
        <w:rPr>
          <w:lang w:val="en-GB"/>
        </w:rPr>
        <w:t>From 2026,</w:t>
      </w:r>
      <w:r w:rsidR="001F70C9" w:rsidRPr="1B474FE3">
        <w:rPr>
          <w:rFonts w:ascii="Open Sans" w:hAnsi="Open Sans" w:cs="Open Sans"/>
          <w:color w:val="222955"/>
          <w:sz w:val="23"/>
          <w:szCs w:val="23"/>
          <w:lang w:val="en-GB"/>
        </w:rPr>
        <w:t xml:space="preserve"> </w:t>
      </w:r>
      <w:r w:rsidR="00364E2B" w:rsidRPr="1B474FE3">
        <w:rPr>
          <w:lang w:val="en-GB"/>
        </w:rPr>
        <w:t>Member States will indeed be required to take measures ensuring that economic operators with a significant role in the prevention and generation of food waste</w:t>
      </w:r>
      <w:r w:rsidR="004B6F90" w:rsidRPr="1B474FE3">
        <w:rPr>
          <w:rFonts w:ascii="Tahoma" w:hAnsi="Tahoma" w:cs="Tahoma"/>
          <w:lang w:val="en-GB"/>
        </w:rPr>
        <w:t xml:space="preserve"> </w:t>
      </w:r>
      <w:r w:rsidR="00364E2B" w:rsidRPr="1B474FE3">
        <w:rPr>
          <w:lang w:val="en-GB"/>
        </w:rPr>
        <w:t xml:space="preserve">facilitate </w:t>
      </w:r>
      <w:r w:rsidR="00327D79" w:rsidRPr="1B474FE3">
        <w:rPr>
          <w:lang w:val="en-GB"/>
        </w:rPr>
        <w:t>food</w:t>
      </w:r>
      <w:r w:rsidR="00364E2B" w:rsidRPr="1B474FE3">
        <w:rPr>
          <w:lang w:val="en-GB"/>
        </w:rPr>
        <w:t xml:space="preserve"> donation </w:t>
      </w:r>
      <w:r w:rsidR="00327D79" w:rsidRPr="1B474FE3">
        <w:rPr>
          <w:lang w:val="en-GB"/>
        </w:rPr>
        <w:t xml:space="preserve">as mandated by </w:t>
      </w:r>
      <w:r w:rsidR="004B6F90" w:rsidRPr="1B474FE3">
        <w:rPr>
          <w:lang w:val="en-GB"/>
        </w:rPr>
        <w:t xml:space="preserve">the </w:t>
      </w:r>
      <w:r w:rsidR="00327D79" w:rsidRPr="1B474FE3">
        <w:rPr>
          <w:lang w:val="en-GB"/>
        </w:rPr>
        <w:t>revised waste framework directive.</w:t>
      </w:r>
      <w:r w:rsidR="004B6F90" w:rsidRPr="1B474FE3">
        <w:rPr>
          <w:lang w:val="en-GB"/>
        </w:rPr>
        <w:t xml:space="preserve"> </w:t>
      </w:r>
      <w:r w:rsidR="0028480A" w:rsidRPr="1B474FE3">
        <w:rPr>
          <w:lang w:val="en-GB"/>
        </w:rPr>
        <w:t xml:space="preserve">Solutions could be </w:t>
      </w:r>
      <w:r w:rsidR="004B6F90" w:rsidRPr="1B474FE3">
        <w:rPr>
          <w:lang w:val="en-GB"/>
        </w:rPr>
        <w:t>EU-wide VAT exemption</w:t>
      </w:r>
      <w:r w:rsidR="007F7927" w:rsidRPr="1B474FE3">
        <w:rPr>
          <w:lang w:val="en-GB"/>
        </w:rPr>
        <w:t>s</w:t>
      </w:r>
      <w:r w:rsidR="004B6F90" w:rsidRPr="1B474FE3">
        <w:rPr>
          <w:lang w:val="en-GB"/>
        </w:rPr>
        <w:t xml:space="preserve"> for donated products, lowering high distribution costs and financial incentives.</w:t>
      </w:r>
      <w:r w:rsidR="00D57D31">
        <w:rPr>
          <w:lang w:val="en-GB"/>
        </w:rPr>
        <w:t xml:space="preserve"> </w:t>
      </w:r>
      <w:r w:rsidR="0071506C">
        <w:rPr>
          <w:lang w:val="en-GB"/>
        </w:rPr>
        <w:t>Formal and mandatory food waste measurement and reporting is less suited to small businesses and would not be cost effective</w:t>
      </w:r>
      <w:r w:rsidR="0071506C">
        <w:rPr>
          <w:rStyle w:val="FootnoteReference"/>
          <w:lang w:val="en-GB"/>
        </w:rPr>
        <w:footnoteReference w:id="17"/>
      </w:r>
      <w:r w:rsidR="0071506C">
        <w:rPr>
          <w:lang w:val="en-GB"/>
        </w:rPr>
        <w:t xml:space="preserve">. </w:t>
      </w:r>
    </w:p>
    <w:p w14:paraId="799C30A9" w14:textId="1318A6D1" w:rsidR="00600492" w:rsidRDefault="00241FC6" w:rsidP="0028480A">
      <w:pPr>
        <w:pStyle w:val="ListParagraph"/>
        <w:numPr>
          <w:ilvl w:val="0"/>
          <w:numId w:val="12"/>
        </w:numPr>
        <w:jc w:val="both"/>
        <w:rPr>
          <w:lang w:val="en-GB"/>
        </w:rPr>
      </w:pPr>
      <w:r w:rsidRPr="77718124">
        <w:rPr>
          <w:b/>
          <w:lang w:val="en-GB"/>
        </w:rPr>
        <w:t>Renew</w:t>
      </w:r>
      <w:r w:rsidR="00434FB6" w:rsidRPr="77718124">
        <w:rPr>
          <w:b/>
          <w:lang w:val="en-GB"/>
        </w:rPr>
        <w:t xml:space="preserve"> the mandate for 2027-2031 of the EU Platform on Food Losses </w:t>
      </w:r>
      <w:r w:rsidR="007E65A2">
        <w:rPr>
          <w:b/>
          <w:lang w:val="en-GB"/>
        </w:rPr>
        <w:t>&amp;</w:t>
      </w:r>
      <w:r w:rsidR="00434FB6" w:rsidRPr="77718124">
        <w:rPr>
          <w:b/>
          <w:lang w:val="en-GB"/>
        </w:rPr>
        <w:t xml:space="preserve"> Food Waste.</w:t>
      </w:r>
      <w:r w:rsidR="00434FB6" w:rsidRPr="77718124">
        <w:rPr>
          <w:lang w:val="en-GB"/>
        </w:rPr>
        <w:t xml:space="preserve"> </w:t>
      </w:r>
      <w:r w:rsidRPr="77718124">
        <w:rPr>
          <w:lang w:val="en-GB"/>
        </w:rPr>
        <w:t>HOTREC</w:t>
      </w:r>
      <w:r w:rsidR="00434FB6" w:rsidRPr="77718124">
        <w:rPr>
          <w:lang w:val="en-GB"/>
        </w:rPr>
        <w:t xml:space="preserve"> believe</w:t>
      </w:r>
      <w:r w:rsidRPr="77718124">
        <w:rPr>
          <w:lang w:val="en-GB"/>
        </w:rPr>
        <w:t>s</w:t>
      </w:r>
      <w:r w:rsidR="00434FB6" w:rsidRPr="77718124">
        <w:rPr>
          <w:lang w:val="en-GB"/>
        </w:rPr>
        <w:t xml:space="preserve"> we should continue to share best practices and initiatives showcasing hospitality establishments successfully tackling food waste a</w:t>
      </w:r>
      <w:r w:rsidR="00D57D31">
        <w:rPr>
          <w:lang w:val="en-GB"/>
        </w:rPr>
        <w:t>t</w:t>
      </w:r>
      <w:r w:rsidR="00434FB6" w:rsidRPr="77718124">
        <w:rPr>
          <w:lang w:val="en-GB"/>
        </w:rPr>
        <w:t xml:space="preserve"> local level</w:t>
      </w:r>
      <w:r w:rsidR="00D57D31">
        <w:rPr>
          <w:lang w:val="en-GB"/>
        </w:rPr>
        <w:t>.</w:t>
      </w:r>
    </w:p>
    <w:p w14:paraId="0E0F9E14" w14:textId="30A999A0" w:rsidR="005E3A9C" w:rsidRPr="005E3A9C" w:rsidRDefault="005E3A9C" w:rsidP="005E3A9C">
      <w:pPr>
        <w:jc w:val="both"/>
      </w:pPr>
      <w:r w:rsidRPr="005E3A9C">
        <w:rPr>
          <w:b/>
          <w:highlight w:val="cyan"/>
        </w:rPr>
        <w:t xml:space="preserve">Policy </w:t>
      </w:r>
      <w:r w:rsidRPr="00D034CC">
        <w:rPr>
          <w:b/>
          <w:highlight w:val="cyan"/>
        </w:rPr>
        <w:t xml:space="preserve">recommendation </w:t>
      </w:r>
      <w:r w:rsidR="00DD5959">
        <w:rPr>
          <w:b/>
          <w:highlight w:val="cyan"/>
        </w:rPr>
        <w:t>3</w:t>
      </w:r>
      <w:r w:rsidRPr="00D034CC">
        <w:rPr>
          <w:b/>
          <w:highlight w:val="cyan"/>
        </w:rPr>
        <w:t>: Enhance reuse</w:t>
      </w:r>
    </w:p>
    <w:p w14:paraId="462CDDB2" w14:textId="72A6CC88" w:rsidR="00BB1C0B" w:rsidRPr="00A74472" w:rsidRDefault="00BB1C0B" w:rsidP="00BB1C0B">
      <w:pPr>
        <w:numPr>
          <w:ilvl w:val="0"/>
          <w:numId w:val="19"/>
        </w:numPr>
        <w:jc w:val="both"/>
      </w:pPr>
      <w:r w:rsidRPr="004B6909">
        <w:rPr>
          <w:b/>
          <w:bCs/>
        </w:rPr>
        <w:t xml:space="preserve">Clarify the legal framework for reuse in the EU </w:t>
      </w:r>
      <w:r>
        <w:t>by speeding up guidance on reuse obligations arising from</w:t>
      </w:r>
      <w:r w:rsidRPr="00A74472">
        <w:t xml:space="preserve"> the Packaging and Packaging Waste Regulation (PPWR) </w:t>
      </w:r>
      <w:r>
        <w:t xml:space="preserve">including </w:t>
      </w:r>
      <w:r w:rsidR="004B6909">
        <w:t xml:space="preserve">on </w:t>
      </w:r>
      <w:r w:rsidRPr="00A74472">
        <w:t>preferred materials</w:t>
      </w:r>
      <w:r>
        <w:t>,</w:t>
      </w:r>
      <w:r w:rsidRPr="00A74472">
        <w:t xml:space="preserve"> recyclability of reusable packaging and the acceptable number of rotations for packaging.</w:t>
      </w:r>
    </w:p>
    <w:p w14:paraId="28631BD4" w14:textId="17169FAB" w:rsidR="00A74472" w:rsidRPr="00A74472" w:rsidRDefault="00A74472" w:rsidP="76CFE902">
      <w:pPr>
        <w:numPr>
          <w:ilvl w:val="0"/>
          <w:numId w:val="19"/>
        </w:numPr>
        <w:jc w:val="both"/>
      </w:pPr>
      <w:r w:rsidRPr="76CFE902">
        <w:rPr>
          <w:b/>
          <w:bCs/>
        </w:rPr>
        <w:t xml:space="preserve">Promote reuse </w:t>
      </w:r>
      <w:r w:rsidR="00BB1C0B" w:rsidRPr="76CFE902">
        <w:rPr>
          <w:b/>
          <w:bCs/>
        </w:rPr>
        <w:t>when offering environmental benefits</w:t>
      </w:r>
      <w:r w:rsidR="00BB1C0B" w:rsidRPr="76CFE902">
        <w:t xml:space="preserve"> </w:t>
      </w:r>
      <w:r w:rsidRPr="76CFE902">
        <w:t>through specific initiatives</w:t>
      </w:r>
      <w:r w:rsidRPr="76CFE902">
        <w:rPr>
          <w:b/>
          <w:bCs/>
        </w:rPr>
        <w:t xml:space="preserve"> </w:t>
      </w:r>
      <w:r w:rsidRPr="76CFE902">
        <w:t>while maintaining customer convenience.</w:t>
      </w:r>
    </w:p>
    <w:p w14:paraId="1E1ACD4E" w14:textId="553B07EC" w:rsidR="00A74472" w:rsidRPr="00A74472" w:rsidRDefault="00EC5504" w:rsidP="76CFE902">
      <w:pPr>
        <w:numPr>
          <w:ilvl w:val="0"/>
          <w:numId w:val="19"/>
        </w:numPr>
        <w:jc w:val="both"/>
      </w:pPr>
      <w:r w:rsidRPr="76CFE902">
        <w:rPr>
          <w:b/>
          <w:bCs/>
        </w:rPr>
        <w:lastRenderedPageBreak/>
        <w:t xml:space="preserve">Showcase best practices in expanding the life span of </w:t>
      </w:r>
      <w:r w:rsidR="006E0595" w:rsidRPr="76CFE902">
        <w:rPr>
          <w:b/>
          <w:bCs/>
        </w:rPr>
        <w:t xml:space="preserve">hospitality </w:t>
      </w:r>
      <w:r w:rsidR="00BB1C0B" w:rsidRPr="76CFE902">
        <w:rPr>
          <w:b/>
          <w:bCs/>
        </w:rPr>
        <w:t>furniture</w:t>
      </w:r>
      <w:r w:rsidR="006E0595" w:rsidRPr="76CFE902">
        <w:t xml:space="preserve"> and textiles</w:t>
      </w:r>
      <w:r w:rsidR="00BB1C0B" w:rsidRPr="76CFE902">
        <w:t xml:space="preserve"> and other efforts aimed at prolonging the life of </w:t>
      </w:r>
      <w:r w:rsidR="00351B3B" w:rsidRPr="76CFE902">
        <w:t>equipment</w:t>
      </w:r>
      <w:r w:rsidR="00BB1C0B" w:rsidRPr="76CFE902">
        <w:t>.</w:t>
      </w:r>
    </w:p>
    <w:p w14:paraId="721ADDDA" w14:textId="54ABCF3C" w:rsidR="00A74472" w:rsidRPr="00A74472" w:rsidRDefault="00A74472" w:rsidP="00A74472">
      <w:pPr>
        <w:numPr>
          <w:ilvl w:val="0"/>
          <w:numId w:val="19"/>
        </w:numPr>
        <w:jc w:val="both"/>
      </w:pPr>
      <w:r w:rsidRPr="00A74472">
        <w:rPr>
          <w:b/>
          <w:bCs/>
        </w:rPr>
        <w:t>Tackle the issue of double VAT</w:t>
      </w:r>
      <w:r w:rsidR="00850EFC" w:rsidRPr="004B6909">
        <w:rPr>
          <w:b/>
          <w:bCs/>
        </w:rPr>
        <w:t xml:space="preserve"> and double payment processing fees</w:t>
      </w:r>
      <w:r w:rsidRPr="00A74472">
        <w:rPr>
          <w:b/>
          <w:bCs/>
        </w:rPr>
        <w:t xml:space="preserve"> on deposit </w:t>
      </w:r>
      <w:r w:rsidR="00850EFC" w:rsidRPr="004B6909">
        <w:rPr>
          <w:b/>
          <w:bCs/>
        </w:rPr>
        <w:t>f</w:t>
      </w:r>
      <w:r w:rsidRPr="00A74472">
        <w:rPr>
          <w:b/>
          <w:bCs/>
        </w:rPr>
        <w:t>or reusable</w:t>
      </w:r>
      <w:r w:rsidRPr="00A74472">
        <w:t xml:space="preserve"> packaging</w:t>
      </w:r>
      <w:r w:rsidR="00850EFC">
        <w:t xml:space="preserve"> in </w:t>
      </w:r>
      <w:r w:rsidR="00BB1C0B">
        <w:t>hospitality</w:t>
      </w:r>
      <w:r w:rsidRPr="00A74472">
        <w:t xml:space="preserve">. </w:t>
      </w:r>
    </w:p>
    <w:p w14:paraId="230E9D2C" w14:textId="32956AF3" w:rsidR="00600492" w:rsidRDefault="00600492" w:rsidP="0028480A">
      <w:pPr>
        <w:jc w:val="both"/>
      </w:pPr>
      <w:r w:rsidRPr="00600492">
        <w:t xml:space="preserve">HOTREC is committed to working with </w:t>
      </w:r>
      <w:r w:rsidR="005E3A9C">
        <w:t>EU policy makers and stakeholders to</w:t>
      </w:r>
      <w:r w:rsidRPr="00600492">
        <w:t xml:space="preserve"> promote a sustainable and circular economy within the hospitality sector.</w:t>
      </w:r>
    </w:p>
    <w:p w14:paraId="65CBD5C4" w14:textId="6F6555B8" w:rsidR="00DD5959" w:rsidRDefault="00DD5959" w:rsidP="00DD5959">
      <w:pPr>
        <w:jc w:val="both"/>
      </w:pPr>
      <w:r w:rsidRPr="6EA05066">
        <w:rPr>
          <w:b/>
          <w:bCs/>
          <w:highlight w:val="cyan"/>
        </w:rPr>
        <w:t xml:space="preserve">Policy recommendation </w:t>
      </w:r>
      <w:r>
        <w:rPr>
          <w:b/>
          <w:bCs/>
          <w:highlight w:val="cyan"/>
        </w:rPr>
        <w:t>4</w:t>
      </w:r>
      <w:r w:rsidRPr="6EA05066">
        <w:rPr>
          <w:b/>
          <w:bCs/>
          <w:highlight w:val="cyan"/>
        </w:rPr>
        <w:t xml:space="preserve">: </w:t>
      </w:r>
      <w:r>
        <w:rPr>
          <w:b/>
          <w:bCs/>
          <w:highlight w:val="cyan"/>
        </w:rPr>
        <w:t>Ensure regulatory</w:t>
      </w:r>
      <w:r w:rsidRPr="6EA05066">
        <w:rPr>
          <w:b/>
          <w:bCs/>
          <w:highlight w:val="cyan"/>
        </w:rPr>
        <w:t xml:space="preserve"> </w:t>
      </w:r>
      <w:r w:rsidRPr="00D8425C">
        <w:rPr>
          <w:b/>
          <w:bCs/>
          <w:highlight w:val="cyan"/>
        </w:rPr>
        <w:t>certainty and invest in training</w:t>
      </w:r>
      <w:r>
        <w:rPr>
          <w:b/>
          <w:bCs/>
        </w:rPr>
        <w:t xml:space="preserve"> </w:t>
      </w:r>
      <w:r w:rsidRPr="6EA05066">
        <w:t xml:space="preserve">essential for businesses to effectively plan and implement circular </w:t>
      </w:r>
      <w:proofErr w:type="gramStart"/>
      <w:r w:rsidRPr="6EA05066">
        <w:t>economy</w:t>
      </w:r>
      <w:proofErr w:type="gramEnd"/>
      <w:r w:rsidRPr="6EA05066">
        <w:t xml:space="preserve"> practices. </w:t>
      </w:r>
    </w:p>
    <w:p w14:paraId="57D4B40B" w14:textId="77777777" w:rsidR="00DD5959" w:rsidRDefault="00DD5959" w:rsidP="00DD5959">
      <w:pPr>
        <w:pStyle w:val="ListParagraph"/>
        <w:numPr>
          <w:ilvl w:val="0"/>
          <w:numId w:val="16"/>
        </w:numPr>
        <w:jc w:val="both"/>
      </w:pPr>
      <w:r w:rsidRPr="0018197A">
        <w:rPr>
          <w:b/>
          <w:bCs/>
        </w:rPr>
        <w:t xml:space="preserve">Provide economic tools and measures for Member States and economic operators to "go circular" </w:t>
      </w:r>
      <w:r w:rsidRPr="6EA05066">
        <w:t>rather than setting unachievable</w:t>
      </w:r>
      <w:r>
        <w:t xml:space="preserve"> and burdensome</w:t>
      </w:r>
      <w:r w:rsidRPr="6EA05066">
        <w:t xml:space="preserve"> new targets.</w:t>
      </w:r>
      <w:r>
        <w:t xml:space="preserve"> </w:t>
      </w:r>
    </w:p>
    <w:p w14:paraId="160BDCCB" w14:textId="77777777" w:rsidR="00DD5959" w:rsidRDefault="00DD5959" w:rsidP="00DD5959">
      <w:pPr>
        <w:pStyle w:val="ListParagraph"/>
        <w:numPr>
          <w:ilvl w:val="0"/>
          <w:numId w:val="16"/>
        </w:numPr>
        <w:jc w:val="both"/>
      </w:pPr>
      <w:r w:rsidRPr="0018197A">
        <w:rPr>
          <w:b/>
          <w:bCs/>
        </w:rPr>
        <w:t xml:space="preserve">Invest in education and training </w:t>
      </w:r>
      <w:proofErr w:type="gramStart"/>
      <w:r w:rsidRPr="0018197A">
        <w:rPr>
          <w:b/>
          <w:bCs/>
        </w:rPr>
        <w:t>on</w:t>
      </w:r>
      <w:proofErr w:type="gramEnd"/>
      <w:r w:rsidRPr="0018197A">
        <w:rPr>
          <w:b/>
          <w:bCs/>
        </w:rPr>
        <w:t xml:space="preserve"> circular economy</w:t>
      </w:r>
      <w:r w:rsidRPr="00484146">
        <w:t xml:space="preserve"> </w:t>
      </w:r>
    </w:p>
    <w:p w14:paraId="4D44DC7F" w14:textId="0CF60025" w:rsidR="00DD5959" w:rsidRDefault="00DD5959" w:rsidP="00956E63">
      <w:pPr>
        <w:pStyle w:val="ListParagraph"/>
        <w:jc w:val="both"/>
      </w:pPr>
      <w:r>
        <w:t>Studies show that t</w:t>
      </w:r>
      <w:r w:rsidRPr="00D3628A">
        <w:t>raining ho</w:t>
      </w:r>
      <w:r>
        <w:t>spitality</w:t>
      </w:r>
      <w:r w:rsidRPr="00D3628A">
        <w:t xml:space="preserve"> staff</w:t>
      </w:r>
      <w:r>
        <w:t>,</w:t>
      </w:r>
      <w:r w:rsidRPr="00D3628A">
        <w:t xml:space="preserve"> at all levels</w:t>
      </w:r>
      <w:r>
        <w:t>,</w:t>
      </w:r>
      <w:r w:rsidRPr="00D3628A">
        <w:t xml:space="preserve"> on </w:t>
      </w:r>
      <w:r>
        <w:t>c</w:t>
      </w:r>
      <w:r w:rsidRPr="00D3628A">
        <w:t xml:space="preserve">ircular </w:t>
      </w:r>
      <w:r>
        <w:t>e</w:t>
      </w:r>
      <w:r w:rsidRPr="00D3628A">
        <w:t xml:space="preserve">conomy and design can have a powerful multiplying effect within the </w:t>
      </w:r>
      <w:proofErr w:type="spellStart"/>
      <w:r w:rsidRPr="00D3628A">
        <w:t>organi</w:t>
      </w:r>
      <w:r>
        <w:t>s</w:t>
      </w:r>
      <w:r w:rsidRPr="00D3628A">
        <w:t>ations</w:t>
      </w:r>
      <w:proofErr w:type="spellEnd"/>
      <w:r>
        <w:rPr>
          <w:rStyle w:val="FootnoteReference"/>
        </w:rPr>
        <w:footnoteReference w:id="18"/>
      </w:r>
      <w:r w:rsidRPr="00D3628A">
        <w:t>.</w:t>
      </w:r>
    </w:p>
    <w:p w14:paraId="6C600954" w14:textId="77777777" w:rsidR="002219E6" w:rsidRDefault="002219E6" w:rsidP="0028480A">
      <w:pPr>
        <w:jc w:val="both"/>
      </w:pPr>
    </w:p>
    <w:p w14:paraId="7D130CD1" w14:textId="77777777" w:rsidR="00AC1458" w:rsidRPr="009E1E84" w:rsidRDefault="00AC1458" w:rsidP="00AC1458">
      <w:pPr>
        <w:pStyle w:val="ListParagraph"/>
        <w:numPr>
          <w:ilvl w:val="0"/>
          <w:numId w:val="4"/>
        </w:numPr>
        <w:jc w:val="both"/>
        <w:rPr>
          <w:b/>
        </w:rPr>
      </w:pPr>
      <w:r w:rsidRPr="009E1E84">
        <w:rPr>
          <w:b/>
        </w:rPr>
        <w:t>ACTION PLAN</w:t>
      </w:r>
    </w:p>
    <w:p w14:paraId="5EDFB6D1" w14:textId="73E08710" w:rsidR="00AC1458" w:rsidRPr="00600492" w:rsidRDefault="00AC1458" w:rsidP="00AC1458">
      <w:pPr>
        <w:jc w:val="both"/>
      </w:pPr>
      <w:r w:rsidRPr="00600492">
        <w:t xml:space="preserve">Acknowledging the </w:t>
      </w:r>
      <w:r>
        <w:t>resource</w:t>
      </w:r>
      <w:r w:rsidRPr="00600492">
        <w:t>-intensive nature of hospitality</w:t>
      </w:r>
      <w:r>
        <w:t xml:space="preserve">, we have set goals within </w:t>
      </w:r>
      <w:r w:rsidR="00215557">
        <w:t>three</w:t>
      </w:r>
      <w:r>
        <w:t xml:space="preserve"> core pillars</w:t>
      </w:r>
      <w:r w:rsidR="00063197">
        <w:t>,</w:t>
      </w:r>
      <w:r>
        <w:t xml:space="preserve"> coupled with concrete actions</w:t>
      </w:r>
      <w:r w:rsidR="004F7F56">
        <w:t>, for HOTREC</w:t>
      </w:r>
      <w:r>
        <w:t xml:space="preserve"> to achieve within the next two years. Our four pillars should be complemented by three horizontal focus areas:</w:t>
      </w:r>
    </w:p>
    <w:p w14:paraId="47756ABC" w14:textId="77777777" w:rsidR="00AC1458" w:rsidRDefault="00AC1458" w:rsidP="00AC1458">
      <w:pPr>
        <w:pStyle w:val="ListParagraph"/>
        <w:numPr>
          <w:ilvl w:val="0"/>
          <w:numId w:val="10"/>
        </w:numPr>
        <w:jc w:val="both"/>
      </w:pPr>
      <w:r>
        <w:t>Considering MSMES tailored needs to implement circular models</w:t>
      </w:r>
    </w:p>
    <w:p w14:paraId="7E8C7CF8" w14:textId="77777777" w:rsidR="00AC1458" w:rsidRDefault="00AC1458" w:rsidP="00AC1458">
      <w:pPr>
        <w:pStyle w:val="ListParagraph"/>
        <w:numPr>
          <w:ilvl w:val="0"/>
          <w:numId w:val="10"/>
        </w:numPr>
        <w:jc w:val="both"/>
      </w:pPr>
      <w:r>
        <w:t>Encouraging collaboration</w:t>
      </w:r>
      <w:r w:rsidRPr="00D1519F">
        <w:t xml:space="preserve"> with local suppliers</w:t>
      </w:r>
      <w:r>
        <w:t xml:space="preserve"> and local communities</w:t>
      </w:r>
    </w:p>
    <w:p w14:paraId="04CEA5B9" w14:textId="314A4B32" w:rsidR="00AC1458" w:rsidRDefault="00AC1458" w:rsidP="00AC1458">
      <w:pPr>
        <w:pStyle w:val="ListParagraph"/>
        <w:numPr>
          <w:ilvl w:val="0"/>
          <w:numId w:val="10"/>
        </w:numPr>
        <w:jc w:val="both"/>
      </w:pPr>
      <w:r>
        <w:t>Raising consumer and staff awareness</w:t>
      </w:r>
    </w:p>
    <w:p w14:paraId="289A9CEB" w14:textId="55B1E3A0" w:rsidR="00DE2910" w:rsidRDefault="000C29D4" w:rsidP="0028480A">
      <w:pPr>
        <w:jc w:val="both"/>
      </w:pPr>
      <w:r>
        <w:t>See below</w:t>
      </w:r>
    </w:p>
    <w:p w14:paraId="11DC1F87" w14:textId="77777777" w:rsidR="000D0E1B" w:rsidRDefault="000D0E1B" w:rsidP="0028480A">
      <w:pPr>
        <w:jc w:val="both"/>
      </w:pPr>
    </w:p>
    <w:p w14:paraId="03FA234B" w14:textId="77777777" w:rsidR="000D0E1B" w:rsidRDefault="000D0E1B" w:rsidP="0028480A">
      <w:pPr>
        <w:jc w:val="both"/>
      </w:pPr>
    </w:p>
    <w:p w14:paraId="68529A67" w14:textId="77777777" w:rsidR="000D0E1B" w:rsidRDefault="000D0E1B" w:rsidP="0028480A">
      <w:pPr>
        <w:jc w:val="both"/>
      </w:pPr>
    </w:p>
    <w:p w14:paraId="760D131D" w14:textId="77777777" w:rsidR="000D0E1B" w:rsidRDefault="000D0E1B" w:rsidP="0028480A">
      <w:pPr>
        <w:jc w:val="both"/>
      </w:pPr>
    </w:p>
    <w:p w14:paraId="06EDF18D" w14:textId="77777777" w:rsidR="000D0E1B" w:rsidRDefault="000D0E1B" w:rsidP="0028480A">
      <w:pPr>
        <w:jc w:val="both"/>
      </w:pPr>
    </w:p>
    <w:p w14:paraId="69664224" w14:textId="77777777" w:rsidR="000D0E1B" w:rsidRDefault="000D0E1B" w:rsidP="0028480A">
      <w:pPr>
        <w:jc w:val="both"/>
      </w:pPr>
    </w:p>
    <w:p w14:paraId="75C22595" w14:textId="77777777" w:rsidR="000D0E1B" w:rsidRDefault="000D0E1B" w:rsidP="0028480A">
      <w:pPr>
        <w:jc w:val="both"/>
      </w:pPr>
    </w:p>
    <w:p w14:paraId="1B5ADD4D" w14:textId="77777777" w:rsidR="000D0E1B" w:rsidRDefault="000D0E1B" w:rsidP="0028480A">
      <w:pPr>
        <w:jc w:val="both"/>
      </w:pPr>
    </w:p>
    <w:p w14:paraId="7FD68BCC" w14:textId="77777777" w:rsidR="000D0E1B" w:rsidRDefault="000D0E1B" w:rsidP="0028480A">
      <w:pPr>
        <w:jc w:val="both"/>
      </w:pPr>
    </w:p>
    <w:p w14:paraId="6A9C9C87" w14:textId="77777777" w:rsidR="000D0E1B" w:rsidRDefault="000D0E1B" w:rsidP="0028480A">
      <w:pPr>
        <w:jc w:val="both"/>
      </w:pPr>
    </w:p>
    <w:p w14:paraId="32E2F483" w14:textId="77777777" w:rsidR="004F62CE" w:rsidRDefault="004F62CE" w:rsidP="00502C04">
      <w:pPr>
        <w:sectPr w:rsidR="004F62CE">
          <w:headerReference w:type="default" r:id="rId16"/>
          <w:footerReference w:type="default" r:id="rId17"/>
          <w:pgSz w:w="11906" w:h="16838"/>
          <w:pgMar w:top="1440" w:right="1440" w:bottom="1440" w:left="1440" w:header="708" w:footer="708" w:gutter="0"/>
          <w:cols w:space="708"/>
          <w:docGrid w:linePitch="360"/>
        </w:sectPr>
      </w:pPr>
    </w:p>
    <w:tbl>
      <w:tblPr>
        <w:tblStyle w:val="TableGrid"/>
        <w:tblW w:w="13467" w:type="dxa"/>
        <w:jc w:val="center"/>
        <w:tblLook w:val="04A0" w:firstRow="1" w:lastRow="0" w:firstColumn="1" w:lastColumn="0" w:noHBand="0" w:noVBand="1"/>
      </w:tblPr>
      <w:tblGrid>
        <w:gridCol w:w="2411"/>
        <w:gridCol w:w="3260"/>
        <w:gridCol w:w="4820"/>
        <w:gridCol w:w="2976"/>
      </w:tblGrid>
      <w:tr w:rsidR="001007EC" w14:paraId="7DAA2876" w14:textId="2FE3E2B1" w:rsidTr="001007EC">
        <w:trPr>
          <w:jc w:val="center"/>
        </w:trPr>
        <w:tc>
          <w:tcPr>
            <w:tcW w:w="2411" w:type="dxa"/>
            <w:tcBorders>
              <w:bottom w:val="single" w:sz="4" w:space="0" w:color="auto"/>
            </w:tcBorders>
          </w:tcPr>
          <w:p w14:paraId="1322FFAE" w14:textId="77777777" w:rsidR="001007EC" w:rsidRPr="00243F1D" w:rsidRDefault="001007EC" w:rsidP="00502C04">
            <w:pPr>
              <w:rPr>
                <w:sz w:val="28"/>
                <w:szCs w:val="28"/>
              </w:rPr>
            </w:pPr>
          </w:p>
          <w:p w14:paraId="56923FCA" w14:textId="3915BBD4" w:rsidR="001007EC" w:rsidRPr="00243F1D" w:rsidRDefault="001007EC" w:rsidP="009A6C0E">
            <w:pPr>
              <w:jc w:val="center"/>
              <w:rPr>
                <w:b/>
                <w:bCs/>
                <w:sz w:val="28"/>
                <w:szCs w:val="28"/>
              </w:rPr>
            </w:pPr>
            <w:r w:rsidRPr="00243F1D">
              <w:rPr>
                <w:b/>
                <w:bCs/>
                <w:sz w:val="28"/>
                <w:szCs w:val="28"/>
              </w:rPr>
              <w:t>Objective</w:t>
            </w:r>
          </w:p>
          <w:p w14:paraId="4C4EE9BF" w14:textId="77777777" w:rsidR="001007EC" w:rsidRPr="00243F1D" w:rsidRDefault="001007EC" w:rsidP="00502C04">
            <w:pPr>
              <w:rPr>
                <w:sz w:val="28"/>
                <w:szCs w:val="28"/>
              </w:rPr>
            </w:pPr>
          </w:p>
        </w:tc>
        <w:tc>
          <w:tcPr>
            <w:tcW w:w="3260" w:type="dxa"/>
            <w:tcBorders>
              <w:bottom w:val="single" w:sz="4" w:space="0" w:color="auto"/>
            </w:tcBorders>
          </w:tcPr>
          <w:p w14:paraId="5070BCE1" w14:textId="77777777" w:rsidR="001007EC" w:rsidRPr="00243F1D" w:rsidRDefault="001007EC" w:rsidP="00502C04">
            <w:pPr>
              <w:rPr>
                <w:sz w:val="28"/>
                <w:szCs w:val="28"/>
              </w:rPr>
            </w:pPr>
          </w:p>
          <w:p w14:paraId="0A6A3216" w14:textId="0559E071" w:rsidR="001007EC" w:rsidRPr="00243F1D" w:rsidRDefault="001007EC" w:rsidP="008C6057">
            <w:pPr>
              <w:jc w:val="center"/>
              <w:rPr>
                <w:b/>
                <w:bCs/>
                <w:sz w:val="28"/>
                <w:szCs w:val="28"/>
              </w:rPr>
            </w:pPr>
            <w:r w:rsidRPr="00243F1D">
              <w:rPr>
                <w:b/>
                <w:bCs/>
                <w:sz w:val="28"/>
                <w:szCs w:val="28"/>
              </w:rPr>
              <w:t>Goals</w:t>
            </w:r>
          </w:p>
        </w:tc>
        <w:tc>
          <w:tcPr>
            <w:tcW w:w="4820" w:type="dxa"/>
            <w:tcBorders>
              <w:bottom w:val="single" w:sz="4" w:space="0" w:color="auto"/>
            </w:tcBorders>
          </w:tcPr>
          <w:p w14:paraId="4AEDA4F9" w14:textId="77777777" w:rsidR="001007EC" w:rsidRPr="00243F1D" w:rsidRDefault="001007EC" w:rsidP="00502C04">
            <w:pPr>
              <w:rPr>
                <w:sz w:val="28"/>
                <w:szCs w:val="28"/>
              </w:rPr>
            </w:pPr>
          </w:p>
          <w:p w14:paraId="27102679" w14:textId="2BB2576E" w:rsidR="001007EC" w:rsidRPr="00243F1D" w:rsidRDefault="001007EC" w:rsidP="00364DA5">
            <w:pPr>
              <w:jc w:val="center"/>
              <w:rPr>
                <w:b/>
                <w:bCs/>
                <w:sz w:val="28"/>
                <w:szCs w:val="28"/>
              </w:rPr>
            </w:pPr>
            <w:r w:rsidRPr="00243F1D">
              <w:rPr>
                <w:b/>
                <w:bCs/>
                <w:sz w:val="28"/>
                <w:szCs w:val="28"/>
              </w:rPr>
              <w:t>Actions</w:t>
            </w:r>
          </w:p>
        </w:tc>
        <w:tc>
          <w:tcPr>
            <w:tcW w:w="2976" w:type="dxa"/>
            <w:tcBorders>
              <w:bottom w:val="single" w:sz="4" w:space="0" w:color="auto"/>
            </w:tcBorders>
          </w:tcPr>
          <w:p w14:paraId="372AF581" w14:textId="77777777" w:rsidR="001007EC" w:rsidRPr="00243F1D" w:rsidRDefault="001007EC" w:rsidP="00502C04">
            <w:pPr>
              <w:rPr>
                <w:sz w:val="28"/>
                <w:szCs w:val="28"/>
              </w:rPr>
            </w:pPr>
          </w:p>
          <w:p w14:paraId="31A0B771" w14:textId="7EC204D8" w:rsidR="001007EC" w:rsidRPr="00243F1D" w:rsidRDefault="001007EC" w:rsidP="00BF786E">
            <w:pPr>
              <w:jc w:val="center"/>
              <w:rPr>
                <w:b/>
                <w:bCs/>
                <w:sz w:val="28"/>
                <w:szCs w:val="28"/>
              </w:rPr>
            </w:pPr>
            <w:r w:rsidRPr="00243F1D">
              <w:rPr>
                <w:b/>
                <w:bCs/>
                <w:sz w:val="28"/>
                <w:szCs w:val="28"/>
              </w:rPr>
              <w:t>Timeline</w:t>
            </w:r>
          </w:p>
        </w:tc>
      </w:tr>
      <w:tr w:rsidR="001007EC" w14:paraId="57F92326" w14:textId="77777777" w:rsidTr="001007EC">
        <w:trPr>
          <w:trHeight w:val="600"/>
          <w:jc w:val="center"/>
        </w:trPr>
        <w:tc>
          <w:tcPr>
            <w:tcW w:w="2411" w:type="dxa"/>
            <w:vMerge w:val="restart"/>
            <w:tcBorders>
              <w:top w:val="single" w:sz="4" w:space="0" w:color="auto"/>
              <w:left w:val="single" w:sz="12" w:space="0" w:color="4EA72E" w:themeColor="accent6"/>
            </w:tcBorders>
            <w:shd w:val="clear" w:color="auto" w:fill="D9F2D0" w:themeFill="accent6" w:themeFillTint="33"/>
          </w:tcPr>
          <w:p w14:paraId="732D7D91" w14:textId="77777777" w:rsidR="001007EC" w:rsidRDefault="001007EC" w:rsidP="008F5972">
            <w:pPr>
              <w:jc w:val="both"/>
            </w:pPr>
          </w:p>
          <w:p w14:paraId="33372202" w14:textId="77777777" w:rsidR="001007EC" w:rsidRDefault="001007EC" w:rsidP="008F5972">
            <w:pPr>
              <w:jc w:val="both"/>
              <w:rPr>
                <w:b/>
                <w:bCs/>
              </w:rPr>
            </w:pPr>
          </w:p>
          <w:p w14:paraId="652063CB" w14:textId="77777777" w:rsidR="001007EC" w:rsidRDefault="001007EC" w:rsidP="008F5972">
            <w:pPr>
              <w:jc w:val="both"/>
              <w:rPr>
                <w:b/>
                <w:bCs/>
              </w:rPr>
            </w:pPr>
          </w:p>
          <w:p w14:paraId="26A13E03" w14:textId="77777777" w:rsidR="001007EC" w:rsidRDefault="001007EC" w:rsidP="008F5972">
            <w:pPr>
              <w:jc w:val="both"/>
              <w:rPr>
                <w:b/>
                <w:bCs/>
              </w:rPr>
            </w:pPr>
          </w:p>
          <w:p w14:paraId="12D4B5B6" w14:textId="77777777" w:rsidR="001007EC" w:rsidRDefault="001007EC" w:rsidP="008F5972">
            <w:pPr>
              <w:jc w:val="both"/>
              <w:rPr>
                <w:b/>
                <w:bCs/>
              </w:rPr>
            </w:pPr>
          </w:p>
          <w:p w14:paraId="054BB893" w14:textId="77777777" w:rsidR="001007EC" w:rsidRDefault="001007EC" w:rsidP="008F5972">
            <w:pPr>
              <w:jc w:val="both"/>
              <w:rPr>
                <w:b/>
                <w:bCs/>
              </w:rPr>
            </w:pPr>
          </w:p>
          <w:p w14:paraId="44F48E62" w14:textId="0E8E1E82" w:rsidR="001007EC" w:rsidRPr="00A43FBF" w:rsidRDefault="001007EC" w:rsidP="008F5972">
            <w:pPr>
              <w:rPr>
                <w:b/>
                <w:bCs/>
              </w:rPr>
            </w:pPr>
            <w:r>
              <w:rPr>
                <w:b/>
                <w:bCs/>
              </w:rPr>
              <w:t>1</w:t>
            </w:r>
            <w:r>
              <w:rPr>
                <w:b/>
                <w:bCs/>
              </w:rPr>
              <w:t>. Managing waste</w:t>
            </w:r>
          </w:p>
          <w:p w14:paraId="75071B2B" w14:textId="77777777" w:rsidR="001007EC" w:rsidRDefault="001007EC" w:rsidP="008F5972">
            <w:pPr>
              <w:jc w:val="both"/>
            </w:pPr>
          </w:p>
        </w:tc>
        <w:tc>
          <w:tcPr>
            <w:tcW w:w="3260" w:type="dxa"/>
            <w:vMerge w:val="restart"/>
            <w:tcBorders>
              <w:top w:val="single" w:sz="4" w:space="0" w:color="auto"/>
            </w:tcBorders>
            <w:shd w:val="clear" w:color="auto" w:fill="D9F2D0" w:themeFill="accent6" w:themeFillTint="33"/>
          </w:tcPr>
          <w:p w14:paraId="2CAA2B19" w14:textId="77777777" w:rsidR="001007EC" w:rsidRDefault="001007EC" w:rsidP="008F5972"/>
          <w:p w14:paraId="174415E8" w14:textId="77777777" w:rsidR="001007EC" w:rsidRDefault="001007EC" w:rsidP="008F5972"/>
          <w:p w14:paraId="2A09251F" w14:textId="77777777" w:rsidR="001007EC" w:rsidRDefault="001007EC" w:rsidP="008F5972"/>
          <w:p w14:paraId="3BE1E6CF" w14:textId="77777777" w:rsidR="001007EC" w:rsidRDefault="001007EC" w:rsidP="008F5972">
            <w:r w:rsidRPr="00A43FBF">
              <w:t>Improving waste collection for recycling</w:t>
            </w:r>
          </w:p>
          <w:p w14:paraId="64607727" w14:textId="77777777" w:rsidR="001007EC" w:rsidRDefault="001007EC" w:rsidP="008F5972"/>
        </w:tc>
        <w:tc>
          <w:tcPr>
            <w:tcW w:w="4820" w:type="dxa"/>
            <w:tcBorders>
              <w:top w:val="single" w:sz="4" w:space="0" w:color="auto"/>
            </w:tcBorders>
            <w:shd w:val="clear" w:color="auto" w:fill="D9F2D0" w:themeFill="accent6" w:themeFillTint="33"/>
          </w:tcPr>
          <w:p w14:paraId="63C7F8D8" w14:textId="77777777" w:rsidR="001007EC" w:rsidRDefault="001007EC" w:rsidP="008F5972"/>
          <w:p w14:paraId="09A262F8" w14:textId="515567A2" w:rsidR="001007EC" w:rsidRDefault="001007EC" w:rsidP="008F5972">
            <w:r>
              <w:t xml:space="preserve">Action </w:t>
            </w:r>
            <w:r w:rsidR="00AB6A3A">
              <w:t>1</w:t>
            </w:r>
            <w:r>
              <w:t xml:space="preserve">: </w:t>
            </w:r>
            <w:r w:rsidRPr="00A43FBF">
              <w:t>Advocate for door-to-door separate collection of packaging waste in HORECA</w:t>
            </w:r>
          </w:p>
          <w:p w14:paraId="35BB782B" w14:textId="77777777" w:rsidR="001007EC" w:rsidRDefault="001007EC" w:rsidP="008F5972"/>
        </w:tc>
        <w:tc>
          <w:tcPr>
            <w:tcW w:w="2976" w:type="dxa"/>
            <w:tcBorders>
              <w:top w:val="single" w:sz="4" w:space="0" w:color="auto"/>
            </w:tcBorders>
            <w:shd w:val="clear" w:color="auto" w:fill="D9F2D0" w:themeFill="accent6" w:themeFillTint="33"/>
          </w:tcPr>
          <w:p w14:paraId="73FDECAC" w14:textId="5AF01611" w:rsidR="001007EC" w:rsidRDefault="002A5F1D" w:rsidP="008F5972">
            <w:pPr>
              <w:jc w:val="both"/>
            </w:pPr>
            <w:r>
              <w:t>2027</w:t>
            </w:r>
          </w:p>
        </w:tc>
      </w:tr>
      <w:tr w:rsidR="001007EC" w14:paraId="166F8F32" w14:textId="77777777" w:rsidTr="007100A5">
        <w:trPr>
          <w:trHeight w:val="600"/>
          <w:jc w:val="center"/>
        </w:trPr>
        <w:tc>
          <w:tcPr>
            <w:tcW w:w="2411" w:type="dxa"/>
            <w:vMerge/>
            <w:tcBorders>
              <w:left w:val="single" w:sz="12" w:space="0" w:color="4EA72E" w:themeColor="accent6"/>
            </w:tcBorders>
          </w:tcPr>
          <w:p w14:paraId="0BC645CB" w14:textId="77777777" w:rsidR="001007EC" w:rsidRDefault="001007EC" w:rsidP="008F5972">
            <w:pPr>
              <w:jc w:val="both"/>
            </w:pPr>
          </w:p>
        </w:tc>
        <w:tc>
          <w:tcPr>
            <w:tcW w:w="3260" w:type="dxa"/>
            <w:vMerge/>
          </w:tcPr>
          <w:p w14:paraId="5070402E" w14:textId="77777777" w:rsidR="001007EC" w:rsidRDefault="001007EC" w:rsidP="008F5972"/>
        </w:tc>
        <w:tc>
          <w:tcPr>
            <w:tcW w:w="4820" w:type="dxa"/>
            <w:tcBorders>
              <w:top w:val="single" w:sz="4" w:space="0" w:color="auto"/>
            </w:tcBorders>
            <w:shd w:val="clear" w:color="auto" w:fill="D9F2D0" w:themeFill="accent6" w:themeFillTint="33"/>
          </w:tcPr>
          <w:p w14:paraId="7D5B10D4" w14:textId="77777777" w:rsidR="001007EC" w:rsidRDefault="001007EC" w:rsidP="008F5972"/>
          <w:p w14:paraId="29A19957" w14:textId="3E48C248" w:rsidR="001007EC" w:rsidRDefault="001007EC" w:rsidP="008F5972">
            <w:r>
              <w:t xml:space="preserve">Action </w:t>
            </w:r>
            <w:r w:rsidR="00AB6A3A">
              <w:t>2</w:t>
            </w:r>
            <w:r>
              <w:t xml:space="preserve">: </w:t>
            </w:r>
            <w:r w:rsidRPr="00A43FBF">
              <w:t>Produce studies on successful waste collection in hospitality in Europe</w:t>
            </w:r>
          </w:p>
          <w:p w14:paraId="3784700E" w14:textId="77777777" w:rsidR="001007EC" w:rsidRDefault="001007EC" w:rsidP="008F5972"/>
        </w:tc>
        <w:tc>
          <w:tcPr>
            <w:tcW w:w="2976" w:type="dxa"/>
            <w:shd w:val="clear" w:color="auto" w:fill="D9F2D0" w:themeFill="accent6" w:themeFillTint="33"/>
          </w:tcPr>
          <w:p w14:paraId="6ECB8D91" w14:textId="781DA16A" w:rsidR="001007EC" w:rsidRDefault="00D92CC7" w:rsidP="008F5972">
            <w:pPr>
              <w:jc w:val="both"/>
            </w:pPr>
            <w:r>
              <w:t>2026</w:t>
            </w:r>
          </w:p>
        </w:tc>
      </w:tr>
      <w:tr w:rsidR="001007EC" w14:paraId="265D0C41" w14:textId="77777777" w:rsidTr="007100A5">
        <w:trPr>
          <w:trHeight w:val="1080"/>
          <w:jc w:val="center"/>
        </w:trPr>
        <w:tc>
          <w:tcPr>
            <w:tcW w:w="2411" w:type="dxa"/>
            <w:vMerge/>
            <w:tcBorders>
              <w:left w:val="single" w:sz="12" w:space="0" w:color="4EA72E" w:themeColor="accent6"/>
              <w:bottom w:val="single" w:sz="4" w:space="0" w:color="auto"/>
            </w:tcBorders>
          </w:tcPr>
          <w:p w14:paraId="50D52850" w14:textId="77777777" w:rsidR="001007EC" w:rsidRDefault="001007EC" w:rsidP="008F5972">
            <w:pPr>
              <w:jc w:val="both"/>
            </w:pPr>
          </w:p>
        </w:tc>
        <w:tc>
          <w:tcPr>
            <w:tcW w:w="3260" w:type="dxa"/>
            <w:tcBorders>
              <w:top w:val="single" w:sz="4" w:space="0" w:color="auto"/>
              <w:bottom w:val="single" w:sz="4" w:space="0" w:color="auto"/>
            </w:tcBorders>
            <w:shd w:val="clear" w:color="auto" w:fill="D9F2D0" w:themeFill="accent6" w:themeFillTint="33"/>
          </w:tcPr>
          <w:p w14:paraId="1C7852EA" w14:textId="77777777" w:rsidR="001007EC" w:rsidRDefault="001007EC" w:rsidP="008F5972"/>
          <w:p w14:paraId="4F11AA48" w14:textId="77777777" w:rsidR="001007EC" w:rsidRDefault="001007EC" w:rsidP="008F5972">
            <w:r w:rsidRPr="00A43FBF">
              <w:t>Improving quality of glass collected for recycling in HORECA</w:t>
            </w:r>
          </w:p>
          <w:p w14:paraId="73BE6CBC" w14:textId="77777777" w:rsidR="001007EC" w:rsidRDefault="001007EC" w:rsidP="008F5972"/>
        </w:tc>
        <w:tc>
          <w:tcPr>
            <w:tcW w:w="4820" w:type="dxa"/>
            <w:tcBorders>
              <w:bottom w:val="single" w:sz="4" w:space="0" w:color="auto"/>
            </w:tcBorders>
            <w:shd w:val="clear" w:color="auto" w:fill="D9F2D0" w:themeFill="accent6" w:themeFillTint="33"/>
          </w:tcPr>
          <w:p w14:paraId="6B5E6DAB" w14:textId="77777777" w:rsidR="001007EC" w:rsidRDefault="001007EC" w:rsidP="008F5972"/>
          <w:p w14:paraId="20A21F40" w14:textId="03FC14E7" w:rsidR="001007EC" w:rsidRDefault="001007EC" w:rsidP="008F5972">
            <w:r w:rsidRPr="00243F1D">
              <w:t xml:space="preserve">Action </w:t>
            </w:r>
            <w:r w:rsidR="00AB6A3A">
              <w:t>3</w:t>
            </w:r>
            <w:r w:rsidRPr="00243F1D">
              <w:t>: Launch communication project to reduce glass contamination by ceramic in restaurants with Close the Glass Loop</w:t>
            </w:r>
          </w:p>
          <w:p w14:paraId="0695A3E9" w14:textId="77777777" w:rsidR="001007EC" w:rsidRDefault="001007EC" w:rsidP="008F5972"/>
        </w:tc>
        <w:tc>
          <w:tcPr>
            <w:tcW w:w="2976" w:type="dxa"/>
            <w:tcBorders>
              <w:bottom w:val="single" w:sz="4" w:space="0" w:color="auto"/>
            </w:tcBorders>
            <w:shd w:val="clear" w:color="auto" w:fill="D9F2D0" w:themeFill="accent6" w:themeFillTint="33"/>
          </w:tcPr>
          <w:p w14:paraId="35BDC3F6" w14:textId="125A84EE" w:rsidR="001007EC" w:rsidRDefault="00D92CC7" w:rsidP="008F5972">
            <w:pPr>
              <w:jc w:val="both"/>
            </w:pPr>
            <w:r>
              <w:t>ongoing</w:t>
            </w:r>
          </w:p>
        </w:tc>
      </w:tr>
      <w:tr w:rsidR="00D92CC7" w14:paraId="45E14F1B" w14:textId="0843FE09" w:rsidTr="00B92F1F">
        <w:trPr>
          <w:trHeight w:val="1343"/>
          <w:jc w:val="center"/>
        </w:trPr>
        <w:tc>
          <w:tcPr>
            <w:tcW w:w="2411" w:type="dxa"/>
            <w:vMerge w:val="restart"/>
            <w:tcBorders>
              <w:top w:val="single" w:sz="4" w:space="0" w:color="auto"/>
              <w:left w:val="single" w:sz="12" w:space="0" w:color="A5C9EB" w:themeColor="text2" w:themeTint="40"/>
            </w:tcBorders>
            <w:shd w:val="clear" w:color="auto" w:fill="DAE9F7" w:themeFill="text2" w:themeFillTint="1A"/>
          </w:tcPr>
          <w:p w14:paraId="3C9EE647" w14:textId="77777777" w:rsidR="00D92CC7" w:rsidRDefault="00D92CC7" w:rsidP="00663D3D">
            <w:pPr>
              <w:jc w:val="both"/>
            </w:pPr>
          </w:p>
          <w:p w14:paraId="3CF84F16" w14:textId="77777777" w:rsidR="00D92CC7" w:rsidRDefault="00D92CC7" w:rsidP="00663D3D">
            <w:pPr>
              <w:jc w:val="both"/>
            </w:pPr>
          </w:p>
          <w:p w14:paraId="7444DDEA" w14:textId="77777777" w:rsidR="00D92CC7" w:rsidRDefault="00D92CC7" w:rsidP="00663D3D">
            <w:pPr>
              <w:jc w:val="both"/>
            </w:pPr>
          </w:p>
          <w:p w14:paraId="21E9DFC3" w14:textId="77777777" w:rsidR="00D92CC7" w:rsidRDefault="00D92CC7" w:rsidP="00663D3D">
            <w:pPr>
              <w:jc w:val="both"/>
            </w:pPr>
          </w:p>
          <w:p w14:paraId="466630FB" w14:textId="78C2BD3E" w:rsidR="00D92CC7" w:rsidRPr="00BD09F7" w:rsidRDefault="00D92CC7" w:rsidP="00BD09F7">
            <w:pPr>
              <w:rPr>
                <w:b/>
                <w:bCs/>
              </w:rPr>
            </w:pPr>
            <w:r>
              <w:rPr>
                <w:b/>
                <w:bCs/>
              </w:rPr>
              <w:t xml:space="preserve">2. </w:t>
            </w:r>
            <w:r w:rsidRPr="00645C56">
              <w:rPr>
                <w:b/>
                <w:bCs/>
              </w:rPr>
              <w:t>Reducing food waste</w:t>
            </w:r>
          </w:p>
        </w:tc>
        <w:tc>
          <w:tcPr>
            <w:tcW w:w="3260" w:type="dxa"/>
            <w:tcBorders>
              <w:top w:val="single" w:sz="4" w:space="0" w:color="auto"/>
            </w:tcBorders>
            <w:shd w:val="clear" w:color="auto" w:fill="DAE9F7" w:themeFill="text2" w:themeFillTint="1A"/>
          </w:tcPr>
          <w:p w14:paraId="0C3DD554" w14:textId="77777777" w:rsidR="00D92CC7" w:rsidRDefault="00D92CC7" w:rsidP="008B50D6"/>
          <w:p w14:paraId="7C739E90" w14:textId="0A704406" w:rsidR="00D92CC7" w:rsidRDefault="00D92CC7" w:rsidP="008B50D6">
            <w:r w:rsidRPr="0065522A">
              <w:t xml:space="preserve">Support member states in meeting </w:t>
            </w:r>
            <w:r>
              <w:t>food waste</w:t>
            </w:r>
            <w:r w:rsidRPr="0065522A">
              <w:t xml:space="preserve"> reduction targets by 2030</w:t>
            </w:r>
          </w:p>
          <w:p w14:paraId="5971E140" w14:textId="77777777" w:rsidR="00D92CC7" w:rsidRDefault="00D92CC7" w:rsidP="008B50D6"/>
        </w:tc>
        <w:tc>
          <w:tcPr>
            <w:tcW w:w="4820" w:type="dxa"/>
            <w:tcBorders>
              <w:top w:val="single" w:sz="4" w:space="0" w:color="auto"/>
            </w:tcBorders>
            <w:shd w:val="clear" w:color="auto" w:fill="DAE9F7" w:themeFill="text2" w:themeFillTint="1A"/>
          </w:tcPr>
          <w:p w14:paraId="6AAE05C0" w14:textId="77777777" w:rsidR="00D92CC7" w:rsidRDefault="00D92CC7" w:rsidP="008B50D6"/>
          <w:p w14:paraId="1FAD7154" w14:textId="0D2598BF" w:rsidR="00D92CC7" w:rsidRDefault="00D92CC7" w:rsidP="008B50D6">
            <w:r>
              <w:t xml:space="preserve">Action 4: </w:t>
            </w:r>
            <w:r w:rsidRPr="00663D3D">
              <w:t>Play an active role in the EU platform FLFW and inform national authorities on recommended measures</w:t>
            </w:r>
          </w:p>
          <w:p w14:paraId="00DB4CD0" w14:textId="77777777" w:rsidR="00D92CC7" w:rsidRDefault="00D92CC7" w:rsidP="008B50D6"/>
        </w:tc>
        <w:tc>
          <w:tcPr>
            <w:tcW w:w="2976" w:type="dxa"/>
            <w:tcBorders>
              <w:top w:val="single" w:sz="4" w:space="0" w:color="auto"/>
            </w:tcBorders>
            <w:shd w:val="clear" w:color="auto" w:fill="DAE9F7" w:themeFill="text2" w:themeFillTint="1A"/>
          </w:tcPr>
          <w:p w14:paraId="781E8500" w14:textId="048B0D85" w:rsidR="00D92CC7" w:rsidRDefault="00D92CC7" w:rsidP="00663D3D">
            <w:pPr>
              <w:jc w:val="both"/>
            </w:pPr>
            <w:r>
              <w:t>ongoing</w:t>
            </w:r>
          </w:p>
        </w:tc>
      </w:tr>
      <w:tr w:rsidR="001007EC" w14:paraId="3ABD704C" w14:textId="77777777" w:rsidTr="00BD09F7">
        <w:trPr>
          <w:trHeight w:val="855"/>
          <w:jc w:val="center"/>
        </w:trPr>
        <w:tc>
          <w:tcPr>
            <w:tcW w:w="2411" w:type="dxa"/>
            <w:vMerge/>
            <w:tcBorders>
              <w:left w:val="single" w:sz="12" w:space="0" w:color="A5C9EB" w:themeColor="text2" w:themeTint="40"/>
              <w:bottom w:val="single" w:sz="4" w:space="0" w:color="auto"/>
            </w:tcBorders>
            <w:shd w:val="clear" w:color="auto" w:fill="DAE9F7" w:themeFill="text2" w:themeFillTint="1A"/>
          </w:tcPr>
          <w:p w14:paraId="786D1EDE" w14:textId="77777777" w:rsidR="001007EC" w:rsidRDefault="001007EC" w:rsidP="00663D3D">
            <w:pPr>
              <w:jc w:val="both"/>
            </w:pPr>
          </w:p>
        </w:tc>
        <w:tc>
          <w:tcPr>
            <w:tcW w:w="3260" w:type="dxa"/>
            <w:tcBorders>
              <w:bottom w:val="single" w:sz="4" w:space="0" w:color="auto"/>
            </w:tcBorders>
            <w:shd w:val="clear" w:color="auto" w:fill="DAE9F7" w:themeFill="text2" w:themeFillTint="1A"/>
          </w:tcPr>
          <w:p w14:paraId="613D7D65" w14:textId="77777777" w:rsidR="00A75B3B" w:rsidRDefault="00A75B3B" w:rsidP="008B50D6"/>
          <w:p w14:paraId="5229876D" w14:textId="77777777" w:rsidR="001007EC" w:rsidRDefault="001007EC" w:rsidP="008B50D6">
            <w:r>
              <w:t>S</w:t>
            </w:r>
            <w:r w:rsidRPr="0065522A">
              <w:t xml:space="preserve">upport local food waste reduction </w:t>
            </w:r>
          </w:p>
          <w:p w14:paraId="6757172C" w14:textId="77777777" w:rsidR="001007EC" w:rsidRDefault="001007EC" w:rsidP="008B50D6">
            <w:r w:rsidRPr="0065522A">
              <w:t>Initiatives</w:t>
            </w:r>
          </w:p>
          <w:p w14:paraId="0D461606" w14:textId="1461456D" w:rsidR="003C4D2E" w:rsidRDefault="003C4D2E" w:rsidP="008B50D6"/>
        </w:tc>
        <w:tc>
          <w:tcPr>
            <w:tcW w:w="4820" w:type="dxa"/>
            <w:tcBorders>
              <w:bottom w:val="single" w:sz="4" w:space="0" w:color="auto"/>
            </w:tcBorders>
            <w:shd w:val="clear" w:color="auto" w:fill="DAE9F7" w:themeFill="text2" w:themeFillTint="1A"/>
          </w:tcPr>
          <w:p w14:paraId="62559FC8" w14:textId="77777777" w:rsidR="00A75B3B" w:rsidRDefault="00A75B3B" w:rsidP="008B50D6"/>
          <w:p w14:paraId="54C7A2E5" w14:textId="53E96414" w:rsidR="001007EC" w:rsidRDefault="001007EC" w:rsidP="008B50D6">
            <w:r>
              <w:t xml:space="preserve">Action 5: </w:t>
            </w:r>
            <w:r w:rsidRPr="00952245">
              <w:t>Encourage awareness-raising with staff and clients</w:t>
            </w:r>
          </w:p>
        </w:tc>
        <w:tc>
          <w:tcPr>
            <w:tcW w:w="2976" w:type="dxa"/>
            <w:tcBorders>
              <w:bottom w:val="single" w:sz="4" w:space="0" w:color="auto"/>
            </w:tcBorders>
            <w:shd w:val="clear" w:color="auto" w:fill="DAE9F7" w:themeFill="text2" w:themeFillTint="1A"/>
          </w:tcPr>
          <w:p w14:paraId="09C1064F" w14:textId="30252394" w:rsidR="001007EC" w:rsidRDefault="00D92CC7" w:rsidP="00663D3D">
            <w:pPr>
              <w:jc w:val="both"/>
            </w:pPr>
            <w:r>
              <w:t>2026</w:t>
            </w:r>
          </w:p>
        </w:tc>
      </w:tr>
      <w:tr w:rsidR="002F5447" w14:paraId="2B99BE24" w14:textId="6C16CDC4" w:rsidTr="001007EC">
        <w:trPr>
          <w:trHeight w:val="894"/>
          <w:jc w:val="center"/>
        </w:trPr>
        <w:tc>
          <w:tcPr>
            <w:tcW w:w="2411" w:type="dxa"/>
            <w:vMerge w:val="restart"/>
            <w:tcBorders>
              <w:left w:val="single" w:sz="12" w:space="0" w:color="A02B93" w:themeColor="accent5"/>
            </w:tcBorders>
            <w:shd w:val="clear" w:color="auto" w:fill="F2CEED" w:themeFill="accent5" w:themeFillTint="33"/>
          </w:tcPr>
          <w:p w14:paraId="637A9DE5" w14:textId="77777777" w:rsidR="002F5447" w:rsidRDefault="002F5447" w:rsidP="00663D3D">
            <w:pPr>
              <w:jc w:val="both"/>
            </w:pPr>
          </w:p>
          <w:p w14:paraId="0A71EBD5" w14:textId="77777777" w:rsidR="002F5447" w:rsidRDefault="002F5447" w:rsidP="00DF3D03">
            <w:pPr>
              <w:rPr>
                <w:b/>
                <w:bCs/>
              </w:rPr>
            </w:pPr>
          </w:p>
          <w:p w14:paraId="3C2C5337" w14:textId="77777777" w:rsidR="002F5447" w:rsidRDefault="002F5447" w:rsidP="00DF3D03">
            <w:pPr>
              <w:rPr>
                <w:b/>
                <w:bCs/>
              </w:rPr>
            </w:pPr>
          </w:p>
          <w:p w14:paraId="771D5DED" w14:textId="77777777" w:rsidR="002F5447" w:rsidRDefault="002F5447" w:rsidP="00DF3D03">
            <w:pPr>
              <w:rPr>
                <w:b/>
                <w:bCs/>
              </w:rPr>
            </w:pPr>
          </w:p>
          <w:p w14:paraId="43ABAFE1" w14:textId="77777777" w:rsidR="002F5447" w:rsidRDefault="002F5447" w:rsidP="00DF3D03">
            <w:pPr>
              <w:rPr>
                <w:b/>
                <w:bCs/>
              </w:rPr>
            </w:pPr>
          </w:p>
          <w:p w14:paraId="5603856A" w14:textId="77777777" w:rsidR="002F5447" w:rsidRDefault="002F5447" w:rsidP="00DF3D03">
            <w:pPr>
              <w:rPr>
                <w:b/>
                <w:bCs/>
              </w:rPr>
            </w:pPr>
          </w:p>
          <w:p w14:paraId="14F1064F" w14:textId="77777777" w:rsidR="002F5447" w:rsidRDefault="002F5447" w:rsidP="00DF3D03">
            <w:pPr>
              <w:rPr>
                <w:b/>
                <w:bCs/>
              </w:rPr>
            </w:pPr>
          </w:p>
          <w:p w14:paraId="41C6514D" w14:textId="410A3BD7" w:rsidR="002F5447" w:rsidRPr="00DF3D03" w:rsidRDefault="002F5447" w:rsidP="00DF3D03">
            <w:pPr>
              <w:rPr>
                <w:b/>
                <w:bCs/>
              </w:rPr>
            </w:pPr>
            <w:r>
              <w:rPr>
                <w:b/>
                <w:bCs/>
              </w:rPr>
              <w:t>3. Enhancing reuse</w:t>
            </w:r>
          </w:p>
          <w:p w14:paraId="1077BFF7" w14:textId="77777777" w:rsidR="002F5447" w:rsidRDefault="002F5447" w:rsidP="00663D3D">
            <w:pPr>
              <w:jc w:val="both"/>
            </w:pPr>
          </w:p>
        </w:tc>
        <w:tc>
          <w:tcPr>
            <w:tcW w:w="3260" w:type="dxa"/>
            <w:vMerge w:val="restart"/>
            <w:shd w:val="clear" w:color="auto" w:fill="F2CEED" w:themeFill="accent5" w:themeFillTint="33"/>
          </w:tcPr>
          <w:p w14:paraId="65463106" w14:textId="227F1C70" w:rsidR="002F5447" w:rsidRDefault="002F5447" w:rsidP="008B50D6">
            <w:pPr>
              <w:rPr>
                <w:lang w:val="en-GB"/>
              </w:rPr>
            </w:pPr>
            <w:r w:rsidRPr="00DF3D03">
              <w:rPr>
                <w:lang w:val="en-GB"/>
              </w:rPr>
              <w:t>Facilitate the uptake of reuse in food-led businesses</w:t>
            </w:r>
          </w:p>
          <w:p w14:paraId="5D0C1CFA" w14:textId="77777777" w:rsidR="002F5447" w:rsidRDefault="002F5447" w:rsidP="008B50D6"/>
        </w:tc>
        <w:tc>
          <w:tcPr>
            <w:tcW w:w="4820" w:type="dxa"/>
            <w:vMerge w:val="restart"/>
            <w:shd w:val="clear" w:color="auto" w:fill="F2CEED" w:themeFill="accent5" w:themeFillTint="33"/>
          </w:tcPr>
          <w:p w14:paraId="34C09024" w14:textId="1EB44542" w:rsidR="002F5447" w:rsidRDefault="002F5447" w:rsidP="008B50D6">
            <w:r w:rsidRPr="00723B69">
              <w:t xml:space="preserve">Action </w:t>
            </w:r>
            <w:r>
              <w:t>6</w:t>
            </w:r>
            <w:r w:rsidRPr="00723B69">
              <w:t>: Create guidelines for hospitality</w:t>
            </w:r>
            <w:r w:rsidR="0044735B">
              <w:t xml:space="preserve"> </w:t>
            </w:r>
            <w:r w:rsidRPr="00723B69">
              <w:t>businesses on reuse and refill obligations arising from PPWR</w:t>
            </w:r>
          </w:p>
        </w:tc>
        <w:tc>
          <w:tcPr>
            <w:tcW w:w="2976" w:type="dxa"/>
            <w:shd w:val="clear" w:color="auto" w:fill="F2CEED" w:themeFill="accent5" w:themeFillTint="33"/>
          </w:tcPr>
          <w:p w14:paraId="5A668F71" w14:textId="67466DCC" w:rsidR="002F5447" w:rsidRDefault="00D92CC7" w:rsidP="00663D3D">
            <w:pPr>
              <w:jc w:val="both"/>
            </w:pPr>
            <w:r>
              <w:t>ongoing</w:t>
            </w:r>
          </w:p>
        </w:tc>
      </w:tr>
      <w:tr w:rsidR="002F5447" w14:paraId="65EDD65C" w14:textId="77777777" w:rsidTr="001007EC">
        <w:trPr>
          <w:trHeight w:val="893"/>
          <w:jc w:val="center"/>
        </w:trPr>
        <w:tc>
          <w:tcPr>
            <w:tcW w:w="2411" w:type="dxa"/>
            <w:vMerge/>
            <w:tcBorders>
              <w:left w:val="single" w:sz="12" w:space="0" w:color="A02B93" w:themeColor="accent5"/>
            </w:tcBorders>
          </w:tcPr>
          <w:p w14:paraId="5CA91CD5" w14:textId="77777777" w:rsidR="002F5447" w:rsidRDefault="002F5447" w:rsidP="00663D3D">
            <w:pPr>
              <w:jc w:val="both"/>
            </w:pPr>
          </w:p>
        </w:tc>
        <w:tc>
          <w:tcPr>
            <w:tcW w:w="3260" w:type="dxa"/>
            <w:vMerge/>
          </w:tcPr>
          <w:p w14:paraId="5EC3FE67" w14:textId="77777777" w:rsidR="002F5447" w:rsidRDefault="002F5447" w:rsidP="008B50D6"/>
        </w:tc>
        <w:tc>
          <w:tcPr>
            <w:tcW w:w="4820" w:type="dxa"/>
            <w:vMerge/>
            <w:shd w:val="clear" w:color="auto" w:fill="F2CEED" w:themeFill="accent5" w:themeFillTint="33"/>
          </w:tcPr>
          <w:p w14:paraId="2003AC42" w14:textId="7A08556A" w:rsidR="002F5447" w:rsidRDefault="002F5447" w:rsidP="008B50D6"/>
        </w:tc>
        <w:tc>
          <w:tcPr>
            <w:tcW w:w="2976" w:type="dxa"/>
            <w:shd w:val="clear" w:color="auto" w:fill="F2CEED" w:themeFill="accent5" w:themeFillTint="33"/>
          </w:tcPr>
          <w:p w14:paraId="47F41699" w14:textId="77777777" w:rsidR="002F5447" w:rsidRDefault="002F5447" w:rsidP="00663D3D">
            <w:pPr>
              <w:jc w:val="both"/>
            </w:pPr>
          </w:p>
        </w:tc>
      </w:tr>
      <w:tr w:rsidR="001007EC" w14:paraId="5F0A85CF" w14:textId="77777777" w:rsidTr="001007EC">
        <w:trPr>
          <w:trHeight w:val="247"/>
          <w:jc w:val="center"/>
        </w:trPr>
        <w:tc>
          <w:tcPr>
            <w:tcW w:w="2411" w:type="dxa"/>
            <w:vMerge/>
            <w:tcBorders>
              <w:left w:val="single" w:sz="12" w:space="0" w:color="A02B93" w:themeColor="accent5"/>
            </w:tcBorders>
          </w:tcPr>
          <w:p w14:paraId="624801B0" w14:textId="77777777" w:rsidR="001007EC" w:rsidRDefault="001007EC" w:rsidP="00663D3D">
            <w:pPr>
              <w:jc w:val="both"/>
            </w:pPr>
          </w:p>
        </w:tc>
        <w:tc>
          <w:tcPr>
            <w:tcW w:w="3260" w:type="dxa"/>
            <w:vMerge w:val="restart"/>
            <w:shd w:val="clear" w:color="auto" w:fill="F2CEED" w:themeFill="accent5" w:themeFillTint="33"/>
          </w:tcPr>
          <w:p w14:paraId="02C1E096" w14:textId="77777777" w:rsidR="001007EC" w:rsidRDefault="001007EC" w:rsidP="008B50D6"/>
          <w:p w14:paraId="55E3531A" w14:textId="77777777" w:rsidR="001007EC" w:rsidRDefault="001007EC" w:rsidP="008B50D6"/>
          <w:p w14:paraId="1DE3E1E4" w14:textId="0CF7DF35" w:rsidR="001007EC" w:rsidRDefault="001007EC" w:rsidP="008B50D6">
            <w:r w:rsidRPr="00DF3D03">
              <w:t>Expand the lifespan of furniture and equipment in hotels and restaurants</w:t>
            </w:r>
          </w:p>
          <w:p w14:paraId="7F75AE13" w14:textId="77777777" w:rsidR="001007EC" w:rsidRDefault="001007EC" w:rsidP="008B50D6"/>
        </w:tc>
        <w:tc>
          <w:tcPr>
            <w:tcW w:w="4820" w:type="dxa"/>
            <w:shd w:val="clear" w:color="auto" w:fill="F2CEED" w:themeFill="accent5" w:themeFillTint="33"/>
          </w:tcPr>
          <w:p w14:paraId="48C2447C" w14:textId="77777777" w:rsidR="001007EC" w:rsidRDefault="001007EC" w:rsidP="008B50D6"/>
          <w:p w14:paraId="6BAE78CF" w14:textId="4A9F589E" w:rsidR="001007EC" w:rsidRDefault="001007EC" w:rsidP="008B50D6">
            <w:r w:rsidRPr="00723B69">
              <w:t xml:space="preserve">Action </w:t>
            </w:r>
            <w:r w:rsidR="002F5447">
              <w:t>7</w:t>
            </w:r>
            <w:r w:rsidRPr="00723B69">
              <w:t>: Contribute to sleep circular project o</w:t>
            </w:r>
            <w:r w:rsidR="00DC6202">
              <w:t>n</w:t>
            </w:r>
            <w:r w:rsidRPr="00723B69">
              <w:t xml:space="preserve"> end of life of mattresses</w:t>
            </w:r>
          </w:p>
          <w:p w14:paraId="60A419BE" w14:textId="77777777" w:rsidR="001007EC" w:rsidRDefault="001007EC" w:rsidP="008B50D6"/>
        </w:tc>
        <w:tc>
          <w:tcPr>
            <w:tcW w:w="2976" w:type="dxa"/>
            <w:shd w:val="clear" w:color="auto" w:fill="F2CEED" w:themeFill="accent5" w:themeFillTint="33"/>
          </w:tcPr>
          <w:p w14:paraId="127C7E32" w14:textId="5B0DAE36" w:rsidR="001007EC" w:rsidRDefault="00D92CC7" w:rsidP="00663D3D">
            <w:pPr>
              <w:jc w:val="both"/>
            </w:pPr>
            <w:r>
              <w:t>ongoing</w:t>
            </w:r>
          </w:p>
        </w:tc>
      </w:tr>
      <w:tr w:rsidR="001007EC" w14:paraId="16048108" w14:textId="77777777" w:rsidTr="001007EC">
        <w:trPr>
          <w:trHeight w:val="246"/>
          <w:jc w:val="center"/>
        </w:trPr>
        <w:tc>
          <w:tcPr>
            <w:tcW w:w="2411" w:type="dxa"/>
            <w:vMerge/>
            <w:tcBorders>
              <w:left w:val="single" w:sz="12" w:space="0" w:color="A02B93" w:themeColor="accent5"/>
            </w:tcBorders>
          </w:tcPr>
          <w:p w14:paraId="1417D2B0" w14:textId="77777777" w:rsidR="001007EC" w:rsidRDefault="001007EC" w:rsidP="00663D3D">
            <w:pPr>
              <w:jc w:val="both"/>
            </w:pPr>
          </w:p>
        </w:tc>
        <w:tc>
          <w:tcPr>
            <w:tcW w:w="3260" w:type="dxa"/>
            <w:vMerge/>
            <w:shd w:val="clear" w:color="auto" w:fill="F2CEED" w:themeFill="accent5" w:themeFillTint="33"/>
          </w:tcPr>
          <w:p w14:paraId="70FA56AB" w14:textId="77777777" w:rsidR="001007EC" w:rsidRDefault="001007EC" w:rsidP="00663D3D">
            <w:pPr>
              <w:jc w:val="both"/>
            </w:pPr>
          </w:p>
        </w:tc>
        <w:tc>
          <w:tcPr>
            <w:tcW w:w="4820" w:type="dxa"/>
            <w:shd w:val="clear" w:color="auto" w:fill="F2CEED" w:themeFill="accent5" w:themeFillTint="33"/>
          </w:tcPr>
          <w:p w14:paraId="64BFD1EC" w14:textId="77777777" w:rsidR="001007EC" w:rsidRDefault="001007EC" w:rsidP="008B50D6"/>
          <w:p w14:paraId="4E426456" w14:textId="143794CE" w:rsidR="001007EC" w:rsidRDefault="001007EC" w:rsidP="008B50D6">
            <w:r w:rsidRPr="00723B69">
              <w:rPr>
                <w:lang w:val="en-GB"/>
              </w:rPr>
              <w:t xml:space="preserve">Action </w:t>
            </w:r>
            <w:r w:rsidR="002F5447">
              <w:rPr>
                <w:lang w:val="en-GB"/>
              </w:rPr>
              <w:t>8</w:t>
            </w:r>
            <w:r w:rsidRPr="00723B69">
              <w:rPr>
                <w:lang w:val="en-GB"/>
              </w:rPr>
              <w:t xml:space="preserve">: Establish partnership with </w:t>
            </w:r>
            <w:r w:rsidR="003C4D2E">
              <w:rPr>
                <w:lang w:val="en-GB"/>
              </w:rPr>
              <w:t xml:space="preserve">the </w:t>
            </w:r>
            <w:r w:rsidRPr="00723B69">
              <w:rPr>
                <w:lang w:val="en-GB"/>
              </w:rPr>
              <w:t>European Waste Management Association (FEAD)</w:t>
            </w:r>
          </w:p>
          <w:p w14:paraId="4EDBC8D2" w14:textId="77777777" w:rsidR="001007EC" w:rsidRDefault="001007EC" w:rsidP="008B50D6"/>
        </w:tc>
        <w:tc>
          <w:tcPr>
            <w:tcW w:w="2976" w:type="dxa"/>
            <w:shd w:val="clear" w:color="auto" w:fill="F2CEED" w:themeFill="accent5" w:themeFillTint="33"/>
          </w:tcPr>
          <w:p w14:paraId="60B3ECF0" w14:textId="78A9891D" w:rsidR="001007EC" w:rsidRDefault="00D92CC7" w:rsidP="00663D3D">
            <w:pPr>
              <w:jc w:val="both"/>
            </w:pPr>
            <w:r>
              <w:t>2027</w:t>
            </w:r>
          </w:p>
        </w:tc>
      </w:tr>
    </w:tbl>
    <w:p w14:paraId="108C416E" w14:textId="1B6EEE28" w:rsidR="000D0E1B" w:rsidRPr="00526D6D" w:rsidRDefault="000D0E1B" w:rsidP="00502C04"/>
    <w:sectPr w:rsidR="000D0E1B" w:rsidRPr="00526D6D" w:rsidSect="0065522A">
      <w:pgSz w:w="16838" w:h="11906" w:orient="landscape"/>
      <w:pgMar w:top="720" w:right="720" w:bottom="720" w:left="720"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Marine Thizon" w:date="2025-08-26T09:38:00Z" w:initials="MT">
    <w:p w14:paraId="5B239315" w14:textId="77777777" w:rsidR="00FB55A0" w:rsidRDefault="00FB55A0" w:rsidP="00FB55A0">
      <w:pPr>
        <w:pStyle w:val="CommentText"/>
      </w:pPr>
      <w:r>
        <w:rPr>
          <w:rStyle w:val="CommentReference"/>
        </w:rPr>
        <w:annotationRef/>
      </w:r>
      <w:r>
        <w:rPr>
          <w:lang w:val="fr-BE"/>
        </w:rPr>
        <w:t>HOTREC members to suggest examples.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B23931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32BC49D" w16cex:dateUtc="2025-08-26T07: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B239315" w16cid:durableId="432BC49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554D27" w14:textId="77777777" w:rsidR="002E5155" w:rsidRDefault="002E5155" w:rsidP="00600492">
      <w:pPr>
        <w:spacing w:after="0" w:line="240" w:lineRule="auto"/>
      </w:pPr>
      <w:r>
        <w:separator/>
      </w:r>
    </w:p>
  </w:endnote>
  <w:endnote w:type="continuationSeparator" w:id="0">
    <w:p w14:paraId="745E45AC" w14:textId="77777777" w:rsidR="002E5155" w:rsidRDefault="002E5155" w:rsidP="006004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1215921"/>
      <w:docPartObj>
        <w:docPartGallery w:val="Page Numbers (Bottom of Page)"/>
        <w:docPartUnique/>
      </w:docPartObj>
    </w:sdtPr>
    <w:sdtEndPr>
      <w:rPr>
        <w:noProof/>
      </w:rPr>
    </w:sdtEndPr>
    <w:sdtContent>
      <w:p w14:paraId="1C8C5ED0" w14:textId="6FCA2ED0" w:rsidR="009F09F4" w:rsidRDefault="009F09F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1196312" w14:textId="77777777" w:rsidR="009F09F4" w:rsidRDefault="009F09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CCB0E4" w14:textId="77777777" w:rsidR="002E5155" w:rsidRDefault="002E5155" w:rsidP="00600492">
      <w:pPr>
        <w:spacing w:after="0" w:line="240" w:lineRule="auto"/>
      </w:pPr>
      <w:r>
        <w:separator/>
      </w:r>
    </w:p>
  </w:footnote>
  <w:footnote w:type="continuationSeparator" w:id="0">
    <w:p w14:paraId="59B59E96" w14:textId="77777777" w:rsidR="002E5155" w:rsidRDefault="002E5155" w:rsidP="00600492">
      <w:pPr>
        <w:spacing w:after="0" w:line="240" w:lineRule="auto"/>
      </w:pPr>
      <w:r>
        <w:continuationSeparator/>
      </w:r>
    </w:p>
  </w:footnote>
  <w:footnote w:id="1">
    <w:p w14:paraId="010CAFC3" w14:textId="491CEEBB" w:rsidR="004F6730" w:rsidRPr="00020C1B" w:rsidRDefault="004F6730">
      <w:pPr>
        <w:pStyle w:val="FootnoteText"/>
        <w:rPr>
          <w:lang w:val="en-GB"/>
        </w:rPr>
      </w:pPr>
      <w:r>
        <w:rPr>
          <w:rStyle w:val="FootnoteReference"/>
        </w:rPr>
        <w:footnoteRef/>
      </w:r>
      <w:r w:rsidRPr="00020C1B">
        <w:rPr>
          <w:lang w:val="en-GB"/>
        </w:rPr>
        <w:t xml:space="preserve"> </w:t>
      </w:r>
      <w:r w:rsidR="00826726" w:rsidRPr="00020C1B">
        <w:rPr>
          <w:lang w:val="en-GB"/>
        </w:rPr>
        <w:t>Definition</w:t>
      </w:r>
      <w:r w:rsidR="00020C1B" w:rsidRPr="00020C1B">
        <w:rPr>
          <w:lang w:val="en-GB"/>
        </w:rPr>
        <w:t xml:space="preserve"> </w:t>
      </w:r>
      <w:r w:rsidR="006373A8">
        <w:rPr>
          <w:lang w:val="en-GB"/>
        </w:rPr>
        <w:t xml:space="preserve">of a </w:t>
      </w:r>
      <w:r w:rsidR="00020C1B" w:rsidRPr="00020C1B">
        <w:rPr>
          <w:lang w:val="en-GB"/>
        </w:rPr>
        <w:t xml:space="preserve">circular </w:t>
      </w:r>
      <w:r w:rsidR="00020C1B">
        <w:rPr>
          <w:lang w:val="en-GB"/>
        </w:rPr>
        <w:t>economy</w:t>
      </w:r>
      <w:r w:rsidR="00826726" w:rsidRPr="00020C1B">
        <w:rPr>
          <w:lang w:val="en-GB"/>
        </w:rPr>
        <w:t xml:space="preserve">, </w:t>
      </w:r>
      <w:hyperlink r:id="rId1" w:history="1">
        <w:r w:rsidR="00826726" w:rsidRPr="00020C1B">
          <w:rPr>
            <w:rStyle w:val="Hyperlink"/>
            <w:lang w:val="en-GB"/>
          </w:rPr>
          <w:t>Ellen MacArthur Foundation</w:t>
        </w:r>
      </w:hyperlink>
      <w:r w:rsidR="00826726" w:rsidRPr="00020C1B">
        <w:rPr>
          <w:lang w:val="en-GB"/>
        </w:rPr>
        <w:t xml:space="preserve">. </w:t>
      </w:r>
    </w:p>
  </w:footnote>
  <w:footnote w:id="2">
    <w:p w14:paraId="2101DE2A" w14:textId="78238A01" w:rsidR="003D50CB" w:rsidRPr="003D50CB" w:rsidRDefault="003D50CB">
      <w:pPr>
        <w:pStyle w:val="FootnoteText"/>
        <w:rPr>
          <w:lang w:val="en-GB"/>
        </w:rPr>
      </w:pPr>
      <w:r>
        <w:rPr>
          <w:rStyle w:val="FootnoteReference"/>
        </w:rPr>
        <w:footnoteRef/>
      </w:r>
      <w:r>
        <w:t xml:space="preserve"> </w:t>
      </w:r>
      <w:r w:rsidRPr="003D50CB">
        <w:rPr>
          <w:lang w:val="en-GB"/>
        </w:rPr>
        <w:t>Insert link to co</w:t>
      </w:r>
      <w:r>
        <w:rPr>
          <w:lang w:val="en-GB"/>
        </w:rPr>
        <w:t>mmonly used EU waste hie</w:t>
      </w:r>
      <w:r w:rsidR="007C3A51">
        <w:rPr>
          <w:lang w:val="en-GB"/>
        </w:rPr>
        <w:t>rarchy.</w:t>
      </w:r>
    </w:p>
  </w:footnote>
  <w:footnote w:id="3">
    <w:p w14:paraId="1BD29ADF" w14:textId="1B3736AA" w:rsidR="009D1024" w:rsidRPr="00E32165" w:rsidRDefault="009D1024">
      <w:pPr>
        <w:pStyle w:val="FootnoteText"/>
      </w:pPr>
      <w:r>
        <w:rPr>
          <w:rStyle w:val="FootnoteReference"/>
        </w:rPr>
        <w:footnoteRef/>
      </w:r>
      <w:r>
        <w:t xml:space="preserve"> </w:t>
      </w:r>
      <w:r w:rsidR="00E32165">
        <w:t xml:space="preserve">UN </w:t>
      </w:r>
      <w:r w:rsidR="00C676F0">
        <w:t>T</w:t>
      </w:r>
      <w:r w:rsidR="00E32165" w:rsidRPr="00E32165">
        <w:t xml:space="preserve">ourism and the Sustainable Development Goals – </w:t>
      </w:r>
      <w:hyperlink r:id="rId2" w:history="1">
        <w:r w:rsidR="00E32165" w:rsidRPr="00BC223C">
          <w:rPr>
            <w:rStyle w:val="Hyperlink"/>
          </w:rPr>
          <w:t>Journey to 2030</w:t>
        </w:r>
      </w:hyperlink>
      <w:r w:rsidR="00E32165">
        <w:t xml:space="preserve">, </w:t>
      </w:r>
      <w:r w:rsidR="00C676F0">
        <w:t>January 2018.</w:t>
      </w:r>
    </w:p>
  </w:footnote>
  <w:footnote w:id="4">
    <w:p w14:paraId="392FB752" w14:textId="188A9B2C" w:rsidR="006A5E4A" w:rsidRPr="00677A45" w:rsidRDefault="006A5E4A" w:rsidP="00807551">
      <w:pPr>
        <w:pStyle w:val="FootnoteText"/>
        <w:jc w:val="both"/>
        <w:rPr>
          <w:lang w:val="en-GB"/>
        </w:rPr>
      </w:pPr>
      <w:r>
        <w:rPr>
          <w:rStyle w:val="FootnoteReference"/>
        </w:rPr>
        <w:footnoteRef/>
      </w:r>
      <w:r w:rsidRPr="00677A45">
        <w:rPr>
          <w:lang w:val="en-GB"/>
        </w:rPr>
        <w:t xml:space="preserve"> WTTC</w:t>
      </w:r>
      <w:r w:rsidR="00F22248">
        <w:rPr>
          <w:lang w:val="en-GB"/>
        </w:rPr>
        <w:t xml:space="preserve"> x Harvard, Learning Insights, </w:t>
      </w:r>
      <w:hyperlink r:id="rId3" w:history="1">
        <w:r w:rsidR="0055238A" w:rsidRPr="00377773">
          <w:rPr>
            <w:rStyle w:val="Hyperlink"/>
            <w:lang w:val="en-GB"/>
          </w:rPr>
          <w:t>Leading Circularity in Travel &amp; Tourism</w:t>
        </w:r>
      </w:hyperlink>
      <w:r w:rsidR="00CE4E6F">
        <w:rPr>
          <w:lang w:val="en-GB"/>
        </w:rPr>
        <w:t xml:space="preserve">, </w:t>
      </w:r>
      <w:r w:rsidR="00377773">
        <w:rPr>
          <w:lang w:val="en-GB"/>
        </w:rPr>
        <w:t>May 2022</w:t>
      </w:r>
      <w:r w:rsidR="00CE4E6F">
        <w:rPr>
          <w:lang w:val="en-GB"/>
        </w:rPr>
        <w:t>.</w:t>
      </w:r>
    </w:p>
  </w:footnote>
  <w:footnote w:id="5">
    <w:p w14:paraId="7780D94F" w14:textId="2E6963E8" w:rsidR="0062568E" w:rsidRPr="0062568E" w:rsidRDefault="0062568E" w:rsidP="00807551">
      <w:pPr>
        <w:pStyle w:val="FootnoteText"/>
        <w:jc w:val="both"/>
      </w:pPr>
      <w:r>
        <w:rPr>
          <w:rStyle w:val="FootnoteReference"/>
        </w:rPr>
        <w:footnoteRef/>
      </w:r>
      <w:r>
        <w:t xml:space="preserve"> </w:t>
      </w:r>
      <w:hyperlink r:id="rId4" w:history="1">
        <w:r w:rsidRPr="0062568E">
          <w:rPr>
            <w:rStyle w:val="Hyperlink"/>
          </w:rPr>
          <w:t>Sustainability Trends in Hospitality: Strategies and Examples</w:t>
        </w:r>
      </w:hyperlink>
      <w:r w:rsidR="007A518F">
        <w:t>, March 2025</w:t>
      </w:r>
      <w:r w:rsidR="0026330B">
        <w:t>.</w:t>
      </w:r>
    </w:p>
  </w:footnote>
  <w:footnote w:id="6">
    <w:p w14:paraId="2415F683" w14:textId="17826E17" w:rsidR="00807551" w:rsidRPr="00807551" w:rsidRDefault="00807551" w:rsidP="00807551">
      <w:pPr>
        <w:pStyle w:val="FootnoteText"/>
        <w:jc w:val="both"/>
        <w:rPr>
          <w:lang w:val="en-GB"/>
        </w:rPr>
      </w:pPr>
      <w:r>
        <w:rPr>
          <w:rStyle w:val="FootnoteReference"/>
        </w:rPr>
        <w:footnoteRef/>
      </w:r>
      <w:r>
        <w:t xml:space="preserve"> </w:t>
      </w:r>
      <w:hyperlink r:id="rId5" w:history="1">
        <w:r w:rsidRPr="00807551">
          <w:rPr>
            <w:rStyle w:val="Hyperlink"/>
          </w:rPr>
          <w:t xml:space="preserve">A </w:t>
        </w:r>
        <w:r>
          <w:rPr>
            <w:rStyle w:val="Hyperlink"/>
          </w:rPr>
          <w:t xml:space="preserve">US </w:t>
        </w:r>
        <w:r w:rsidRPr="00807551">
          <w:rPr>
            <w:rStyle w:val="Hyperlink"/>
          </w:rPr>
          <w:t>survey revealed</w:t>
        </w:r>
      </w:hyperlink>
      <w:r w:rsidRPr="00807551">
        <w:t xml:space="preserve"> that 40% of millennials pick employers based on sustainability. Also, 70% are more likely to stay with environmentally responsible companies.</w:t>
      </w:r>
    </w:p>
  </w:footnote>
  <w:footnote w:id="7">
    <w:p w14:paraId="7222AD79" w14:textId="17880AB2" w:rsidR="001E1358" w:rsidRPr="00BA1B18" w:rsidRDefault="001E1358" w:rsidP="001E1358">
      <w:pPr>
        <w:pStyle w:val="FootnoteText"/>
        <w:jc w:val="both"/>
      </w:pPr>
      <w:r>
        <w:rPr>
          <w:rStyle w:val="FootnoteReference"/>
        </w:rPr>
        <w:footnoteRef/>
      </w:r>
      <w:r>
        <w:t xml:space="preserve"> </w:t>
      </w:r>
      <w:hyperlink r:id="rId6" w:history="1">
        <w:r w:rsidRPr="00073892">
          <w:rPr>
            <w:rStyle w:val="Hyperlink"/>
          </w:rPr>
          <w:t>Assessment of water use and re-use in hospitality businesses</w:t>
        </w:r>
      </w:hyperlink>
      <w:r w:rsidRPr="00070266">
        <w:rPr>
          <w:lang w:val="en-GB"/>
        </w:rPr>
        <w:t xml:space="preserve">, </w:t>
      </w:r>
      <w:r>
        <w:rPr>
          <w:lang w:val="en-GB"/>
        </w:rPr>
        <w:t>2016.</w:t>
      </w:r>
    </w:p>
  </w:footnote>
  <w:footnote w:id="8">
    <w:p w14:paraId="3765E3B5" w14:textId="77777777" w:rsidR="001E1358" w:rsidRPr="00F005B8" w:rsidRDefault="001E1358" w:rsidP="001E1358">
      <w:pPr>
        <w:pStyle w:val="FootnoteText"/>
        <w:jc w:val="both"/>
        <w:rPr>
          <w:lang w:val="en-GB"/>
        </w:rPr>
      </w:pPr>
      <w:r>
        <w:rPr>
          <w:rStyle w:val="FootnoteReference"/>
        </w:rPr>
        <w:footnoteRef/>
      </w:r>
      <w:r>
        <w:t xml:space="preserve"> </w:t>
      </w:r>
      <w:hyperlink r:id="rId7" w:history="1">
        <w:r w:rsidRPr="00B75B64">
          <w:rPr>
            <w:rStyle w:val="Hyperlink"/>
          </w:rPr>
          <w:t>How to Create the Sustainable Travel Products Customers Want</w:t>
        </w:r>
      </w:hyperlink>
      <w:r>
        <w:t>,</w:t>
      </w:r>
      <w:r w:rsidRPr="00F005B8">
        <w:t xml:space="preserve"> white paper </w:t>
      </w:r>
      <w:r>
        <w:t>D</w:t>
      </w:r>
      <w:r w:rsidRPr="00F005B8">
        <w:t>ecember 2022</w:t>
      </w:r>
      <w:r>
        <w:t>.</w:t>
      </w:r>
    </w:p>
  </w:footnote>
  <w:footnote w:id="9">
    <w:p w14:paraId="1DCA992C" w14:textId="5B36DBC0" w:rsidR="00581EA0" w:rsidRPr="00581EA0" w:rsidRDefault="00581EA0" w:rsidP="00807551">
      <w:pPr>
        <w:pStyle w:val="FootnoteText"/>
        <w:jc w:val="both"/>
        <w:rPr>
          <w:lang w:val="en-GB"/>
        </w:rPr>
      </w:pPr>
      <w:r>
        <w:rPr>
          <w:rStyle w:val="FootnoteReference"/>
        </w:rPr>
        <w:footnoteRef/>
      </w:r>
      <w:r>
        <w:t xml:space="preserve"> </w:t>
      </w:r>
      <w:hyperlink r:id="rId8" w:anchor=":~:text=In%202022%2C%20the%20EU%E2%80%99s%20circular%20material%20use%20rate,which%20came%20from%20recycled%20waste%20materials%29%20reached%2011.5%25." w:history="1">
        <w:r w:rsidRPr="00581EA0">
          <w:rPr>
            <w:rStyle w:val="Hyperlink"/>
          </w:rPr>
          <w:t>Eurostat: the EU’s circular material use rate rose slightly in 2022 | European Circular Economy Stakeholder Platform</w:t>
        </w:r>
      </w:hyperlink>
    </w:p>
  </w:footnote>
  <w:footnote w:id="10">
    <w:p w14:paraId="6AE7071C" w14:textId="0FC9E7D0" w:rsidR="008A7C27" w:rsidRPr="008A7C27" w:rsidRDefault="008A7C27">
      <w:pPr>
        <w:pStyle w:val="FootnoteText"/>
      </w:pPr>
      <w:r>
        <w:rPr>
          <w:rStyle w:val="FootnoteReference"/>
        </w:rPr>
        <w:footnoteRef/>
      </w:r>
      <w:r>
        <w:t xml:space="preserve"> </w:t>
      </w:r>
      <w:hyperlink r:id="rId9" w:history="1">
        <w:r w:rsidR="0002567B" w:rsidRPr="003D0D88">
          <w:rPr>
            <w:rStyle w:val="Hyperlink"/>
          </w:rPr>
          <w:t>Study on one-way glass beverage packaging in the HORECA sector</w:t>
        </w:r>
      </w:hyperlink>
      <w:r w:rsidR="009934BA">
        <w:t>, December 2022.</w:t>
      </w:r>
    </w:p>
  </w:footnote>
  <w:footnote w:id="11">
    <w:p w14:paraId="762AFBBE" w14:textId="7BF3CBFA" w:rsidR="00613108" w:rsidRPr="007E2D2F" w:rsidRDefault="00613108" w:rsidP="00613108">
      <w:pPr>
        <w:pStyle w:val="FootnoteText"/>
      </w:pPr>
      <w:r>
        <w:rPr>
          <w:rStyle w:val="FootnoteReference"/>
        </w:rPr>
        <w:footnoteRef/>
      </w:r>
      <w:r>
        <w:t xml:space="preserve"> </w:t>
      </w:r>
      <w:r w:rsidRPr="007E2D2F">
        <w:t>Harmonisation of waste separate collection across Europe</w:t>
      </w:r>
      <w:r>
        <w:t xml:space="preserve">, </w:t>
      </w:r>
      <w:hyperlink r:id="rId10" w:history="1">
        <w:r w:rsidRPr="00692CC4">
          <w:rPr>
            <w:rStyle w:val="Hyperlink"/>
          </w:rPr>
          <w:t>Position paper</w:t>
        </w:r>
      </w:hyperlink>
      <w:r>
        <w:t>, July 2020, EEB and Zero Waste Europe.</w:t>
      </w:r>
    </w:p>
  </w:footnote>
  <w:footnote w:id="12">
    <w:p w14:paraId="64A6F566" w14:textId="77777777" w:rsidR="00F30840" w:rsidRPr="00B96136" w:rsidRDefault="00F30840" w:rsidP="00F30840">
      <w:pPr>
        <w:pStyle w:val="FootnoteText"/>
      </w:pPr>
      <w:r>
        <w:rPr>
          <w:rStyle w:val="FootnoteReference"/>
        </w:rPr>
        <w:footnoteRef/>
      </w:r>
      <w:r>
        <w:t xml:space="preserve"> See this </w:t>
      </w:r>
      <w:hyperlink r:id="rId11" w:history="1">
        <w:r w:rsidRPr="00681F7E">
          <w:rPr>
            <w:rStyle w:val="Hyperlink"/>
          </w:rPr>
          <w:t>project of bio organic waste collection</w:t>
        </w:r>
      </w:hyperlink>
      <w:r>
        <w:t xml:space="preserve"> for hospitality in Spain, Malaga.</w:t>
      </w:r>
    </w:p>
  </w:footnote>
  <w:footnote w:id="13">
    <w:p w14:paraId="0485BA73" w14:textId="144A7C2A" w:rsidR="000B52FA" w:rsidRPr="00BE070C" w:rsidRDefault="000B52FA">
      <w:pPr>
        <w:pStyle w:val="FootnoteText"/>
        <w:rPr>
          <w:lang w:val="en-GB"/>
        </w:rPr>
      </w:pPr>
      <w:r>
        <w:rPr>
          <w:rStyle w:val="FootnoteReference"/>
        </w:rPr>
        <w:footnoteRef/>
      </w:r>
      <w:r>
        <w:t xml:space="preserve"> </w:t>
      </w:r>
      <w:hyperlink r:id="rId12" w:history="1">
        <w:r w:rsidR="00BE070C" w:rsidRPr="00BE070C">
          <w:rPr>
            <w:rStyle w:val="Hyperlink"/>
          </w:rPr>
          <w:t>Letter-from-UKHospitality-to-SoS-Steve-Reed-18-March-2025.pdf</w:t>
        </w:r>
      </w:hyperlink>
    </w:p>
  </w:footnote>
  <w:footnote w:id="14">
    <w:p w14:paraId="1C56ECED" w14:textId="4BB915A7" w:rsidR="003F46EF" w:rsidRPr="003F46EF" w:rsidRDefault="003F46EF">
      <w:pPr>
        <w:pStyle w:val="FootnoteText"/>
      </w:pPr>
      <w:r>
        <w:rPr>
          <w:rStyle w:val="FootnoteReference"/>
        </w:rPr>
        <w:footnoteRef/>
      </w:r>
      <w:r>
        <w:t xml:space="preserve"> </w:t>
      </w:r>
      <w:r w:rsidR="00DF1969" w:rsidRPr="00DF1969">
        <w:t>Circular economy act FEAD policy recommendations</w:t>
      </w:r>
      <w:r w:rsidR="00DF1969">
        <w:t>, May 2025.</w:t>
      </w:r>
    </w:p>
  </w:footnote>
  <w:footnote w:id="15">
    <w:p w14:paraId="561C146C" w14:textId="3F9E74F1" w:rsidR="003052E5" w:rsidRPr="00DD3018" w:rsidRDefault="003052E5" w:rsidP="003052E5">
      <w:pPr>
        <w:pStyle w:val="FootnoteText"/>
        <w:rPr>
          <w:lang w:val="en-GB"/>
        </w:rPr>
      </w:pPr>
      <w:r>
        <w:rPr>
          <w:rStyle w:val="FootnoteReference"/>
        </w:rPr>
        <w:footnoteRef/>
      </w:r>
      <w:r>
        <w:t xml:space="preserve"> </w:t>
      </w:r>
      <w:hyperlink r:id="rId13" w:history="1">
        <w:r w:rsidR="00E23A4D" w:rsidRPr="00E23A4D">
          <w:rPr>
            <w:rStyle w:val="Hyperlink"/>
          </w:rPr>
          <w:t xml:space="preserve">Joint Industry Statement on State-run Producer Responsibility </w:t>
        </w:r>
        <w:proofErr w:type="spellStart"/>
        <w:r w:rsidR="00E23A4D" w:rsidRPr="00E23A4D">
          <w:rPr>
            <w:rStyle w:val="Hyperlink"/>
          </w:rPr>
          <w:t>Organisations</w:t>
        </w:r>
        <w:proofErr w:type="spellEnd"/>
      </w:hyperlink>
      <w:r w:rsidR="00E23A4D">
        <w:t>, May 2025.</w:t>
      </w:r>
      <w:r w:rsidR="00E23A4D" w:rsidRPr="00DD3018">
        <w:rPr>
          <w:lang w:val="en-GB"/>
        </w:rPr>
        <w:t xml:space="preserve"> </w:t>
      </w:r>
    </w:p>
  </w:footnote>
  <w:footnote w:id="16">
    <w:p w14:paraId="550DF53B" w14:textId="3923DA63" w:rsidR="006A7597" w:rsidRPr="006A7597" w:rsidRDefault="006A7597">
      <w:pPr>
        <w:pStyle w:val="FootnoteText"/>
      </w:pPr>
      <w:r>
        <w:rPr>
          <w:rStyle w:val="FootnoteReference"/>
        </w:rPr>
        <w:footnoteRef/>
      </w:r>
      <w:r>
        <w:t xml:space="preserve"> </w:t>
      </w:r>
      <w:hyperlink r:id="rId14" w:history="1">
        <w:r w:rsidR="001D1591" w:rsidRPr="00597E62">
          <w:rPr>
            <w:rStyle w:val="Hyperlink"/>
          </w:rPr>
          <w:t>Joint industry statement for harmonized waste sorting labels</w:t>
        </w:r>
      </w:hyperlink>
      <w:r w:rsidR="001D1591">
        <w:t>, July 2025.</w:t>
      </w:r>
    </w:p>
  </w:footnote>
  <w:footnote w:id="17">
    <w:p w14:paraId="4755731F" w14:textId="77777777" w:rsidR="0071506C" w:rsidRPr="00A27367" w:rsidRDefault="0071506C" w:rsidP="0071506C">
      <w:pPr>
        <w:pStyle w:val="FootnoteText"/>
        <w:rPr>
          <w:lang w:val="en-GB"/>
        </w:rPr>
      </w:pPr>
      <w:r>
        <w:rPr>
          <w:rStyle w:val="FootnoteReference"/>
        </w:rPr>
        <w:footnoteRef/>
      </w:r>
      <w:r>
        <w:t xml:space="preserve"> </w:t>
      </w:r>
      <w:hyperlink r:id="rId15" w:history="1">
        <w:r w:rsidRPr="008A6222">
          <w:rPr>
            <w:rStyle w:val="Hyperlink"/>
          </w:rPr>
          <w:t>Impact Assessment, Improved Food Waste Reporting, DEFRA, May 2022, p.43.</w:t>
        </w:r>
      </w:hyperlink>
    </w:p>
  </w:footnote>
  <w:footnote w:id="18">
    <w:p w14:paraId="192E8C2D" w14:textId="77777777" w:rsidR="00DD5959" w:rsidRPr="00D00F85" w:rsidRDefault="00DD5959" w:rsidP="00DD5959">
      <w:pPr>
        <w:pStyle w:val="FootnoteText"/>
      </w:pPr>
      <w:r>
        <w:rPr>
          <w:rStyle w:val="FootnoteReference"/>
        </w:rPr>
        <w:footnoteRef/>
      </w:r>
      <w:r>
        <w:t xml:space="preserve"> </w:t>
      </w:r>
      <w:hyperlink r:id="rId16" w:history="1">
        <w:r w:rsidRPr="00D8425C">
          <w:rPr>
            <w:rStyle w:val="Hyperlink"/>
          </w:rPr>
          <w:t xml:space="preserve">Circular Economy in the hospitality industry Materia </w:t>
        </w:r>
        <w:proofErr w:type="spellStart"/>
        <w:r w:rsidRPr="00D8425C">
          <w:rPr>
            <w:rStyle w:val="Hyperlink"/>
          </w:rPr>
          <w:t>Rinnovabile</w:t>
        </w:r>
        <w:proofErr w:type="spellEnd"/>
        <w:r w:rsidRPr="00D8425C">
          <w:rPr>
            <w:rStyle w:val="Hyperlink"/>
          </w:rPr>
          <w:t xml:space="preserve"> | Renewable Matter</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005F7" w14:textId="3194A3AE" w:rsidR="00600492" w:rsidRDefault="00661556" w:rsidP="00131360">
    <w:pPr>
      <w:pStyle w:val="Header"/>
      <w:tabs>
        <w:tab w:val="clear" w:pos="4513"/>
        <w:tab w:val="clear" w:pos="9026"/>
        <w:tab w:val="left" w:pos="5290"/>
      </w:tabs>
      <w:jc w:val="center"/>
    </w:pPr>
    <w:r>
      <w:rPr>
        <w:noProof/>
      </w:rPr>
      <w:drawing>
        <wp:inline distT="0" distB="0" distL="0" distR="0" wp14:anchorId="2E582015" wp14:editId="05D37F41">
          <wp:extent cx="1801091" cy="988146"/>
          <wp:effectExtent l="0" t="0" r="8890" b="2540"/>
          <wp:docPr id="615500944" name="Picture 3" descr="A blue and orang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5828387" name="Picture 3" descr="A blue and orange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813650" cy="995036"/>
                  </a:xfrm>
                  <a:prstGeom prst="rect">
                    <a:avLst/>
                  </a:prstGeom>
                </pic:spPr>
              </pic:pic>
            </a:graphicData>
          </a:graphic>
        </wp:inline>
      </w:drawing>
    </w:r>
    <w:sdt>
      <w:sdtPr>
        <w:id w:val="1997223512"/>
        <w:docPartObj>
          <w:docPartGallery w:val="Watermarks"/>
          <w:docPartUnique/>
        </w:docPartObj>
      </w:sdtPr>
      <w:sdtEndPr/>
      <w:sdtContent>
        <w:r w:rsidR="00E2771E">
          <w:rPr>
            <w:noProof/>
          </w:rPr>
          <w:pict w14:anchorId="1A453C1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left:0;text-align:left;margin-left:0;margin-top:0;width:412.4pt;height:247.45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C1705"/>
    <w:multiLevelType w:val="multilevel"/>
    <w:tmpl w:val="ADBA6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362073"/>
    <w:multiLevelType w:val="hybridMultilevel"/>
    <w:tmpl w:val="4D8A3882"/>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09E25D8D"/>
    <w:multiLevelType w:val="hybridMultilevel"/>
    <w:tmpl w:val="F24AAFCE"/>
    <w:lvl w:ilvl="0" w:tplc="20000013">
      <w:start w:val="1"/>
      <w:numFmt w:val="upp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0A144CB7"/>
    <w:multiLevelType w:val="hybridMultilevel"/>
    <w:tmpl w:val="B4F4ABE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0CFC4109"/>
    <w:multiLevelType w:val="hybridMultilevel"/>
    <w:tmpl w:val="3F60A5D0"/>
    <w:lvl w:ilvl="0" w:tplc="2000000F">
      <w:start w:val="1"/>
      <w:numFmt w:val="decimal"/>
      <w:lvlText w:val="%1."/>
      <w:lvlJc w:val="left"/>
      <w:pPr>
        <w:ind w:left="720" w:hanging="360"/>
      </w:pPr>
      <w:rPr>
        <w:rFonts w:hint="default"/>
      </w:rPr>
    </w:lvl>
    <w:lvl w:ilvl="1" w:tplc="CF6033BA">
      <w:start w:val="1"/>
      <w:numFmt w:val="bullet"/>
      <w:lvlText w:val="o"/>
      <w:lvlJc w:val="left"/>
      <w:pPr>
        <w:ind w:left="1440" w:hanging="360"/>
      </w:pPr>
      <w:rPr>
        <w:rFonts w:ascii="Courier New" w:hAnsi="Courier New" w:cs="Courier New" w:hint="default"/>
        <w:color w:val="EE0000"/>
      </w:rPr>
    </w:lvl>
    <w:lvl w:ilvl="2" w:tplc="2DCEBE36">
      <w:numFmt w:val="bullet"/>
      <w:lvlText w:val=""/>
      <w:lvlJc w:val="left"/>
      <w:pPr>
        <w:ind w:left="2160" w:hanging="360"/>
      </w:pPr>
      <w:rPr>
        <w:rFonts w:ascii="Wingdings" w:eastAsiaTheme="minorHAnsi" w:hAnsi="Wingdings" w:cstheme="minorBidi"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12D40FE7"/>
    <w:multiLevelType w:val="hybridMultilevel"/>
    <w:tmpl w:val="9D2E757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16DD6437"/>
    <w:multiLevelType w:val="hybridMultilevel"/>
    <w:tmpl w:val="9D74F86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1AD47D83"/>
    <w:multiLevelType w:val="hybridMultilevel"/>
    <w:tmpl w:val="3F60A5D0"/>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color w:val="EE0000"/>
      </w:rPr>
    </w:lvl>
    <w:lvl w:ilvl="2" w:tplc="FFFFFFFF">
      <w:numFmt w:val="bullet"/>
      <w:lvlText w:val=""/>
      <w:lvlJc w:val="left"/>
      <w:pPr>
        <w:ind w:left="2160" w:hanging="360"/>
      </w:pPr>
      <w:rPr>
        <w:rFonts w:ascii="Wingdings" w:eastAsiaTheme="minorHAnsi" w:hAnsi="Wingdings" w:cstheme="minorBidi"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F4563D1"/>
    <w:multiLevelType w:val="hybridMultilevel"/>
    <w:tmpl w:val="170099D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2ADD0969"/>
    <w:multiLevelType w:val="hybridMultilevel"/>
    <w:tmpl w:val="49BC279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3ADA0099"/>
    <w:multiLevelType w:val="hybridMultilevel"/>
    <w:tmpl w:val="87AAF266"/>
    <w:lvl w:ilvl="0" w:tplc="20000019">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414A6D15"/>
    <w:multiLevelType w:val="hybridMultilevel"/>
    <w:tmpl w:val="D87CBCA0"/>
    <w:lvl w:ilvl="0" w:tplc="FFFFFFFF">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04E17FB"/>
    <w:multiLevelType w:val="hybridMultilevel"/>
    <w:tmpl w:val="640480AE"/>
    <w:lvl w:ilvl="0" w:tplc="20000003">
      <w:start w:val="1"/>
      <w:numFmt w:val="bullet"/>
      <w:lvlText w:val="o"/>
      <w:lvlJc w:val="left"/>
      <w:pPr>
        <w:ind w:left="1080" w:hanging="360"/>
      </w:pPr>
      <w:rPr>
        <w:rFonts w:ascii="Courier New" w:hAnsi="Courier New" w:cs="Courier New"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13" w15:restartNumberingAfterBreak="0">
    <w:nsid w:val="545168FA"/>
    <w:multiLevelType w:val="hybridMultilevel"/>
    <w:tmpl w:val="BBB0D6D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15:restartNumberingAfterBreak="0">
    <w:nsid w:val="5E790263"/>
    <w:multiLevelType w:val="hybridMultilevel"/>
    <w:tmpl w:val="78C81AC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15:restartNumberingAfterBreak="0">
    <w:nsid w:val="6B335BDE"/>
    <w:multiLevelType w:val="hybridMultilevel"/>
    <w:tmpl w:val="16B693B0"/>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15:restartNumberingAfterBreak="0">
    <w:nsid w:val="739B4DAB"/>
    <w:multiLevelType w:val="hybridMultilevel"/>
    <w:tmpl w:val="E45C3EC4"/>
    <w:lvl w:ilvl="0" w:tplc="C4F682F2">
      <w:start w:val="1"/>
      <w:numFmt w:val="upperRoman"/>
      <w:lvlText w:val="%1."/>
      <w:lvlJc w:val="left"/>
      <w:pPr>
        <w:ind w:left="1080" w:hanging="720"/>
      </w:pPr>
      <w:rPr>
        <w:rFonts w:hint="default"/>
      </w:r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7" w15:restartNumberingAfterBreak="0">
    <w:nsid w:val="7B041464"/>
    <w:multiLevelType w:val="hybridMultilevel"/>
    <w:tmpl w:val="2D904058"/>
    <w:lvl w:ilvl="0" w:tplc="9490F84C">
      <w:numFmt w:val="bullet"/>
      <w:lvlText w:val="-"/>
      <w:lvlJc w:val="left"/>
      <w:pPr>
        <w:ind w:left="720" w:hanging="360"/>
      </w:pPr>
      <w:rPr>
        <w:rFonts w:ascii="Aptos" w:eastAsiaTheme="minorHAnsi" w:hAnsi="Aptos" w:cstheme="minorBidi"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18" w15:restartNumberingAfterBreak="0">
    <w:nsid w:val="7D976D58"/>
    <w:multiLevelType w:val="hybridMultilevel"/>
    <w:tmpl w:val="9D78733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9" w15:restartNumberingAfterBreak="0">
    <w:nsid w:val="7DD40D52"/>
    <w:multiLevelType w:val="hybridMultilevel"/>
    <w:tmpl w:val="5A0E3044"/>
    <w:lvl w:ilvl="0" w:tplc="20000003">
      <w:start w:val="1"/>
      <w:numFmt w:val="bullet"/>
      <w:lvlText w:val="o"/>
      <w:lvlJc w:val="left"/>
      <w:pPr>
        <w:ind w:left="1440" w:hanging="360"/>
      </w:pPr>
      <w:rPr>
        <w:rFonts w:ascii="Courier New" w:hAnsi="Courier New" w:cs="Courier New" w:hint="default"/>
      </w:rPr>
    </w:lvl>
    <w:lvl w:ilvl="1" w:tplc="20000003" w:tentative="1">
      <w:start w:val="1"/>
      <w:numFmt w:val="bullet"/>
      <w:lvlText w:val="o"/>
      <w:lvlJc w:val="left"/>
      <w:pPr>
        <w:ind w:left="2160" w:hanging="360"/>
      </w:pPr>
      <w:rPr>
        <w:rFonts w:ascii="Courier New" w:hAnsi="Courier New" w:cs="Courier New" w:hint="default"/>
      </w:rPr>
    </w:lvl>
    <w:lvl w:ilvl="2" w:tplc="20000005">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num w:numId="1" w16cid:durableId="1975484331">
    <w:abstractNumId w:val="3"/>
  </w:num>
  <w:num w:numId="2" w16cid:durableId="115218233">
    <w:abstractNumId w:val="9"/>
  </w:num>
  <w:num w:numId="3" w16cid:durableId="220333736">
    <w:abstractNumId w:val="4"/>
  </w:num>
  <w:num w:numId="4" w16cid:durableId="503395100">
    <w:abstractNumId w:val="2"/>
  </w:num>
  <w:num w:numId="5" w16cid:durableId="721708150">
    <w:abstractNumId w:val="13"/>
  </w:num>
  <w:num w:numId="6" w16cid:durableId="269706373">
    <w:abstractNumId w:val="19"/>
  </w:num>
  <w:num w:numId="7" w16cid:durableId="1892307695">
    <w:abstractNumId w:val="12"/>
  </w:num>
  <w:num w:numId="8" w16cid:durableId="1725905092">
    <w:abstractNumId w:val="1"/>
  </w:num>
  <w:num w:numId="9" w16cid:durableId="2000499925">
    <w:abstractNumId w:val="8"/>
  </w:num>
  <w:num w:numId="10" w16cid:durableId="1305233692">
    <w:abstractNumId w:val="7"/>
  </w:num>
  <w:num w:numId="11" w16cid:durableId="1046294463">
    <w:abstractNumId w:val="15"/>
  </w:num>
  <w:num w:numId="12" w16cid:durableId="1676953528">
    <w:abstractNumId w:val="5"/>
  </w:num>
  <w:num w:numId="13" w16cid:durableId="951594362">
    <w:abstractNumId w:val="14"/>
  </w:num>
  <w:num w:numId="14" w16cid:durableId="219823708">
    <w:abstractNumId w:val="18"/>
  </w:num>
  <w:num w:numId="15" w16cid:durableId="2110806968">
    <w:abstractNumId w:val="17"/>
  </w:num>
  <w:num w:numId="16" w16cid:durableId="116800008">
    <w:abstractNumId w:val="6"/>
  </w:num>
  <w:num w:numId="17" w16cid:durableId="283657536">
    <w:abstractNumId w:val="16"/>
  </w:num>
  <w:num w:numId="18" w16cid:durableId="414204032">
    <w:abstractNumId w:val="10"/>
  </w:num>
  <w:num w:numId="19" w16cid:durableId="1571303820">
    <w:abstractNumId w:val="0"/>
  </w:num>
  <w:num w:numId="20" w16cid:durableId="1550149793">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rine Thizon">
    <w15:presenceInfo w15:providerId="AD" w15:userId="S::marine.thizon@hotrec.eu::66a079ba-a25a-4e57-bc9c-185eb927c2a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4C21"/>
    <w:rsid w:val="00001067"/>
    <w:rsid w:val="00001B00"/>
    <w:rsid w:val="00004019"/>
    <w:rsid w:val="00004677"/>
    <w:rsid w:val="0001127D"/>
    <w:rsid w:val="0001275B"/>
    <w:rsid w:val="00015BB6"/>
    <w:rsid w:val="00020C1B"/>
    <w:rsid w:val="00023F05"/>
    <w:rsid w:val="0002567B"/>
    <w:rsid w:val="0002795F"/>
    <w:rsid w:val="00042367"/>
    <w:rsid w:val="00052051"/>
    <w:rsid w:val="000529CC"/>
    <w:rsid w:val="00055378"/>
    <w:rsid w:val="00063197"/>
    <w:rsid w:val="0006638A"/>
    <w:rsid w:val="00067203"/>
    <w:rsid w:val="000701B9"/>
    <w:rsid w:val="00070266"/>
    <w:rsid w:val="00070355"/>
    <w:rsid w:val="00073892"/>
    <w:rsid w:val="000739FF"/>
    <w:rsid w:val="00080C84"/>
    <w:rsid w:val="000834F5"/>
    <w:rsid w:val="00087F8C"/>
    <w:rsid w:val="00097FE1"/>
    <w:rsid w:val="000A0FC0"/>
    <w:rsid w:val="000A2FF7"/>
    <w:rsid w:val="000A4F0F"/>
    <w:rsid w:val="000A651B"/>
    <w:rsid w:val="000B219F"/>
    <w:rsid w:val="000B38C6"/>
    <w:rsid w:val="000B52FA"/>
    <w:rsid w:val="000C178B"/>
    <w:rsid w:val="000C29D4"/>
    <w:rsid w:val="000C4469"/>
    <w:rsid w:val="000C46B8"/>
    <w:rsid w:val="000C4F02"/>
    <w:rsid w:val="000C6385"/>
    <w:rsid w:val="000D0B47"/>
    <w:rsid w:val="000D0E1B"/>
    <w:rsid w:val="000D2B2D"/>
    <w:rsid w:val="000D5361"/>
    <w:rsid w:val="000F1D91"/>
    <w:rsid w:val="000F268D"/>
    <w:rsid w:val="000F2799"/>
    <w:rsid w:val="000F39EB"/>
    <w:rsid w:val="000F7449"/>
    <w:rsid w:val="001007EC"/>
    <w:rsid w:val="00100DEF"/>
    <w:rsid w:val="00103382"/>
    <w:rsid w:val="00103F63"/>
    <w:rsid w:val="00104174"/>
    <w:rsid w:val="001051C1"/>
    <w:rsid w:val="00106A3F"/>
    <w:rsid w:val="00106AAC"/>
    <w:rsid w:val="00106AE5"/>
    <w:rsid w:val="00107EDC"/>
    <w:rsid w:val="00112959"/>
    <w:rsid w:val="0011489A"/>
    <w:rsid w:val="00116265"/>
    <w:rsid w:val="00116BFB"/>
    <w:rsid w:val="001214BF"/>
    <w:rsid w:val="00125006"/>
    <w:rsid w:val="00126A66"/>
    <w:rsid w:val="00131360"/>
    <w:rsid w:val="001467D6"/>
    <w:rsid w:val="00147720"/>
    <w:rsid w:val="00150761"/>
    <w:rsid w:val="001531FC"/>
    <w:rsid w:val="00154817"/>
    <w:rsid w:val="00154AF1"/>
    <w:rsid w:val="001551DE"/>
    <w:rsid w:val="001578A5"/>
    <w:rsid w:val="001674FE"/>
    <w:rsid w:val="00170D47"/>
    <w:rsid w:val="00171507"/>
    <w:rsid w:val="001717A3"/>
    <w:rsid w:val="001765AA"/>
    <w:rsid w:val="0018197A"/>
    <w:rsid w:val="0018296E"/>
    <w:rsid w:val="00192EB5"/>
    <w:rsid w:val="001937F0"/>
    <w:rsid w:val="00193B4C"/>
    <w:rsid w:val="00194605"/>
    <w:rsid w:val="0019656F"/>
    <w:rsid w:val="00196B91"/>
    <w:rsid w:val="00197B16"/>
    <w:rsid w:val="001A363F"/>
    <w:rsid w:val="001B1CD1"/>
    <w:rsid w:val="001B4220"/>
    <w:rsid w:val="001B46E9"/>
    <w:rsid w:val="001B54BC"/>
    <w:rsid w:val="001C3962"/>
    <w:rsid w:val="001C6917"/>
    <w:rsid w:val="001D1591"/>
    <w:rsid w:val="001D2716"/>
    <w:rsid w:val="001D4F19"/>
    <w:rsid w:val="001E1358"/>
    <w:rsid w:val="001E54CB"/>
    <w:rsid w:val="001F13F5"/>
    <w:rsid w:val="001F5AEA"/>
    <w:rsid w:val="001F70C9"/>
    <w:rsid w:val="00203F12"/>
    <w:rsid w:val="0020455D"/>
    <w:rsid w:val="002105A4"/>
    <w:rsid w:val="00211131"/>
    <w:rsid w:val="00213905"/>
    <w:rsid w:val="00215557"/>
    <w:rsid w:val="00215F8E"/>
    <w:rsid w:val="002207D9"/>
    <w:rsid w:val="002219E6"/>
    <w:rsid w:val="00222134"/>
    <w:rsid w:val="00224E17"/>
    <w:rsid w:val="00226E87"/>
    <w:rsid w:val="00241FC6"/>
    <w:rsid w:val="00243D75"/>
    <w:rsid w:val="00243F1D"/>
    <w:rsid w:val="0024431B"/>
    <w:rsid w:val="002536FE"/>
    <w:rsid w:val="00254260"/>
    <w:rsid w:val="00255621"/>
    <w:rsid w:val="002557A3"/>
    <w:rsid w:val="00255D7E"/>
    <w:rsid w:val="00255D8E"/>
    <w:rsid w:val="0026330B"/>
    <w:rsid w:val="002642B2"/>
    <w:rsid w:val="00264E7A"/>
    <w:rsid w:val="002667B7"/>
    <w:rsid w:val="002700B0"/>
    <w:rsid w:val="002705F6"/>
    <w:rsid w:val="00271857"/>
    <w:rsid w:val="00271ED0"/>
    <w:rsid w:val="00272663"/>
    <w:rsid w:val="002771EA"/>
    <w:rsid w:val="0027745C"/>
    <w:rsid w:val="002823E7"/>
    <w:rsid w:val="002829DB"/>
    <w:rsid w:val="0028480A"/>
    <w:rsid w:val="00284D64"/>
    <w:rsid w:val="0028681F"/>
    <w:rsid w:val="00287872"/>
    <w:rsid w:val="00290C12"/>
    <w:rsid w:val="0029312C"/>
    <w:rsid w:val="002934EE"/>
    <w:rsid w:val="002A3F75"/>
    <w:rsid w:val="002A5F1D"/>
    <w:rsid w:val="002B14F5"/>
    <w:rsid w:val="002B21E6"/>
    <w:rsid w:val="002B3836"/>
    <w:rsid w:val="002B4D64"/>
    <w:rsid w:val="002C1748"/>
    <w:rsid w:val="002C2CFF"/>
    <w:rsid w:val="002C31EF"/>
    <w:rsid w:val="002C340F"/>
    <w:rsid w:val="002D2672"/>
    <w:rsid w:val="002D3B60"/>
    <w:rsid w:val="002D6C91"/>
    <w:rsid w:val="002D7342"/>
    <w:rsid w:val="002D7FFE"/>
    <w:rsid w:val="002E189B"/>
    <w:rsid w:val="002E25D6"/>
    <w:rsid w:val="002E3127"/>
    <w:rsid w:val="002E5155"/>
    <w:rsid w:val="002E6B4A"/>
    <w:rsid w:val="002E6E78"/>
    <w:rsid w:val="002F0290"/>
    <w:rsid w:val="002F1105"/>
    <w:rsid w:val="002F1B2F"/>
    <w:rsid w:val="002F49F3"/>
    <w:rsid w:val="002F5447"/>
    <w:rsid w:val="00301FB6"/>
    <w:rsid w:val="0030203E"/>
    <w:rsid w:val="003052E5"/>
    <w:rsid w:val="00311B58"/>
    <w:rsid w:val="00311E25"/>
    <w:rsid w:val="00311FD9"/>
    <w:rsid w:val="003146F3"/>
    <w:rsid w:val="00314E63"/>
    <w:rsid w:val="0031519F"/>
    <w:rsid w:val="00317024"/>
    <w:rsid w:val="00317E83"/>
    <w:rsid w:val="00324583"/>
    <w:rsid w:val="00324784"/>
    <w:rsid w:val="003261D7"/>
    <w:rsid w:val="0032640E"/>
    <w:rsid w:val="00326C98"/>
    <w:rsid w:val="00327D79"/>
    <w:rsid w:val="0033008A"/>
    <w:rsid w:val="003345B5"/>
    <w:rsid w:val="00335AEC"/>
    <w:rsid w:val="00337391"/>
    <w:rsid w:val="00341A39"/>
    <w:rsid w:val="0034217D"/>
    <w:rsid w:val="00342544"/>
    <w:rsid w:val="003451BD"/>
    <w:rsid w:val="00350818"/>
    <w:rsid w:val="00351B3B"/>
    <w:rsid w:val="003624C3"/>
    <w:rsid w:val="00364B83"/>
    <w:rsid w:val="00364DA5"/>
    <w:rsid w:val="00364E2B"/>
    <w:rsid w:val="003665C0"/>
    <w:rsid w:val="0037284B"/>
    <w:rsid w:val="00372D0E"/>
    <w:rsid w:val="00375890"/>
    <w:rsid w:val="00375FBE"/>
    <w:rsid w:val="0037652D"/>
    <w:rsid w:val="00377773"/>
    <w:rsid w:val="0038003F"/>
    <w:rsid w:val="0038300A"/>
    <w:rsid w:val="00386716"/>
    <w:rsid w:val="00390205"/>
    <w:rsid w:val="00393108"/>
    <w:rsid w:val="00395100"/>
    <w:rsid w:val="00396B54"/>
    <w:rsid w:val="003A3CA2"/>
    <w:rsid w:val="003A6E0D"/>
    <w:rsid w:val="003B2D0F"/>
    <w:rsid w:val="003B6436"/>
    <w:rsid w:val="003B6F9E"/>
    <w:rsid w:val="003C2487"/>
    <w:rsid w:val="003C2A7F"/>
    <w:rsid w:val="003C3BD4"/>
    <w:rsid w:val="003C4D2E"/>
    <w:rsid w:val="003C58AC"/>
    <w:rsid w:val="003C679F"/>
    <w:rsid w:val="003C7526"/>
    <w:rsid w:val="003D0D88"/>
    <w:rsid w:val="003D50CB"/>
    <w:rsid w:val="003D5C21"/>
    <w:rsid w:val="003D6434"/>
    <w:rsid w:val="003E05C9"/>
    <w:rsid w:val="003E4802"/>
    <w:rsid w:val="003F0488"/>
    <w:rsid w:val="003F1B6A"/>
    <w:rsid w:val="003F46EF"/>
    <w:rsid w:val="0040548F"/>
    <w:rsid w:val="004243CA"/>
    <w:rsid w:val="00424D90"/>
    <w:rsid w:val="0042735F"/>
    <w:rsid w:val="0043013F"/>
    <w:rsid w:val="00431FB9"/>
    <w:rsid w:val="004340BC"/>
    <w:rsid w:val="004348C5"/>
    <w:rsid w:val="00434FB6"/>
    <w:rsid w:val="00435EDE"/>
    <w:rsid w:val="00443D06"/>
    <w:rsid w:val="00445329"/>
    <w:rsid w:val="00446CB6"/>
    <w:rsid w:val="0044735B"/>
    <w:rsid w:val="00450BD1"/>
    <w:rsid w:val="00455568"/>
    <w:rsid w:val="00455CD8"/>
    <w:rsid w:val="00455E93"/>
    <w:rsid w:val="00460704"/>
    <w:rsid w:val="00466490"/>
    <w:rsid w:val="004716BF"/>
    <w:rsid w:val="00471A08"/>
    <w:rsid w:val="004740A8"/>
    <w:rsid w:val="00474C21"/>
    <w:rsid w:val="00481071"/>
    <w:rsid w:val="004819C6"/>
    <w:rsid w:val="004835C5"/>
    <w:rsid w:val="00484146"/>
    <w:rsid w:val="00487E56"/>
    <w:rsid w:val="004922CE"/>
    <w:rsid w:val="004964CA"/>
    <w:rsid w:val="0049662A"/>
    <w:rsid w:val="004A3FAE"/>
    <w:rsid w:val="004A6CE7"/>
    <w:rsid w:val="004A6FA6"/>
    <w:rsid w:val="004A7052"/>
    <w:rsid w:val="004B3F20"/>
    <w:rsid w:val="004B61F8"/>
    <w:rsid w:val="004B6909"/>
    <w:rsid w:val="004B6F90"/>
    <w:rsid w:val="004C1913"/>
    <w:rsid w:val="004C289B"/>
    <w:rsid w:val="004D446E"/>
    <w:rsid w:val="004D7A7A"/>
    <w:rsid w:val="004E49D9"/>
    <w:rsid w:val="004E4A06"/>
    <w:rsid w:val="004E4DC1"/>
    <w:rsid w:val="004F2DC5"/>
    <w:rsid w:val="004F5649"/>
    <w:rsid w:val="004F62CE"/>
    <w:rsid w:val="004F6730"/>
    <w:rsid w:val="004F7F56"/>
    <w:rsid w:val="0050119F"/>
    <w:rsid w:val="00501386"/>
    <w:rsid w:val="00502C04"/>
    <w:rsid w:val="00503A5D"/>
    <w:rsid w:val="00510F9C"/>
    <w:rsid w:val="005120C0"/>
    <w:rsid w:val="00513104"/>
    <w:rsid w:val="0051656A"/>
    <w:rsid w:val="00526D6D"/>
    <w:rsid w:val="00527BEE"/>
    <w:rsid w:val="0053675B"/>
    <w:rsid w:val="00536760"/>
    <w:rsid w:val="00541C6A"/>
    <w:rsid w:val="005457DF"/>
    <w:rsid w:val="00547682"/>
    <w:rsid w:val="0055238A"/>
    <w:rsid w:val="00554CAB"/>
    <w:rsid w:val="005552CE"/>
    <w:rsid w:val="0055582D"/>
    <w:rsid w:val="005570D0"/>
    <w:rsid w:val="00560A85"/>
    <w:rsid w:val="00560E33"/>
    <w:rsid w:val="00562D0A"/>
    <w:rsid w:val="00566D19"/>
    <w:rsid w:val="0057493A"/>
    <w:rsid w:val="00581EA0"/>
    <w:rsid w:val="00587EB1"/>
    <w:rsid w:val="00593C4B"/>
    <w:rsid w:val="00594BDC"/>
    <w:rsid w:val="00597E62"/>
    <w:rsid w:val="005A4D8B"/>
    <w:rsid w:val="005B00E3"/>
    <w:rsid w:val="005B0C19"/>
    <w:rsid w:val="005C1460"/>
    <w:rsid w:val="005C6FE5"/>
    <w:rsid w:val="005C7951"/>
    <w:rsid w:val="005C79B8"/>
    <w:rsid w:val="005D1931"/>
    <w:rsid w:val="005D50FD"/>
    <w:rsid w:val="005D5AA8"/>
    <w:rsid w:val="005D7E04"/>
    <w:rsid w:val="005E0813"/>
    <w:rsid w:val="005E0C43"/>
    <w:rsid w:val="005E3A9C"/>
    <w:rsid w:val="005E47E7"/>
    <w:rsid w:val="005E6E4F"/>
    <w:rsid w:val="005F0342"/>
    <w:rsid w:val="005F1472"/>
    <w:rsid w:val="005F3664"/>
    <w:rsid w:val="006003A1"/>
    <w:rsid w:val="00600492"/>
    <w:rsid w:val="0060195F"/>
    <w:rsid w:val="006029DE"/>
    <w:rsid w:val="00606B71"/>
    <w:rsid w:val="006129F8"/>
    <w:rsid w:val="00612FCB"/>
    <w:rsid w:val="00613108"/>
    <w:rsid w:val="00613AC8"/>
    <w:rsid w:val="0062112C"/>
    <w:rsid w:val="0062119D"/>
    <w:rsid w:val="00622717"/>
    <w:rsid w:val="00623FE6"/>
    <w:rsid w:val="0062445B"/>
    <w:rsid w:val="0062568E"/>
    <w:rsid w:val="00636CA7"/>
    <w:rsid w:val="006373A8"/>
    <w:rsid w:val="00645C56"/>
    <w:rsid w:val="00647758"/>
    <w:rsid w:val="0065522A"/>
    <w:rsid w:val="00655D7C"/>
    <w:rsid w:val="00660288"/>
    <w:rsid w:val="00660341"/>
    <w:rsid w:val="00660C6C"/>
    <w:rsid w:val="00661556"/>
    <w:rsid w:val="00663D3D"/>
    <w:rsid w:val="006653D0"/>
    <w:rsid w:val="00670379"/>
    <w:rsid w:val="00675E64"/>
    <w:rsid w:val="006774A7"/>
    <w:rsid w:val="00677A45"/>
    <w:rsid w:val="00681F7E"/>
    <w:rsid w:val="0068266D"/>
    <w:rsid w:val="006839BD"/>
    <w:rsid w:val="0069018B"/>
    <w:rsid w:val="00692CC4"/>
    <w:rsid w:val="00693CB2"/>
    <w:rsid w:val="00693E15"/>
    <w:rsid w:val="006969DC"/>
    <w:rsid w:val="00696BCD"/>
    <w:rsid w:val="006A2EB4"/>
    <w:rsid w:val="006A536F"/>
    <w:rsid w:val="006A5E4A"/>
    <w:rsid w:val="006A6AEB"/>
    <w:rsid w:val="006A7597"/>
    <w:rsid w:val="006B546E"/>
    <w:rsid w:val="006C0242"/>
    <w:rsid w:val="006C04F5"/>
    <w:rsid w:val="006C72AB"/>
    <w:rsid w:val="006D1036"/>
    <w:rsid w:val="006D3745"/>
    <w:rsid w:val="006D4A21"/>
    <w:rsid w:val="006D6D8A"/>
    <w:rsid w:val="006E0595"/>
    <w:rsid w:val="006E0985"/>
    <w:rsid w:val="006F22F8"/>
    <w:rsid w:val="006F6CEB"/>
    <w:rsid w:val="00700067"/>
    <w:rsid w:val="007002A7"/>
    <w:rsid w:val="00700472"/>
    <w:rsid w:val="00700B4B"/>
    <w:rsid w:val="007025EC"/>
    <w:rsid w:val="00706F81"/>
    <w:rsid w:val="007100A5"/>
    <w:rsid w:val="0071506C"/>
    <w:rsid w:val="00717405"/>
    <w:rsid w:val="00721CDD"/>
    <w:rsid w:val="00723795"/>
    <w:rsid w:val="00723B69"/>
    <w:rsid w:val="007240BE"/>
    <w:rsid w:val="00727AFB"/>
    <w:rsid w:val="00733BD5"/>
    <w:rsid w:val="00734D88"/>
    <w:rsid w:val="00737E28"/>
    <w:rsid w:val="0074159A"/>
    <w:rsid w:val="00743173"/>
    <w:rsid w:val="00743201"/>
    <w:rsid w:val="007531A0"/>
    <w:rsid w:val="00753293"/>
    <w:rsid w:val="00753B98"/>
    <w:rsid w:val="00760389"/>
    <w:rsid w:val="00760663"/>
    <w:rsid w:val="00763145"/>
    <w:rsid w:val="00770741"/>
    <w:rsid w:val="00773322"/>
    <w:rsid w:val="00773C86"/>
    <w:rsid w:val="007814B8"/>
    <w:rsid w:val="007840B5"/>
    <w:rsid w:val="00792EFC"/>
    <w:rsid w:val="00796F33"/>
    <w:rsid w:val="007A22BF"/>
    <w:rsid w:val="007A518F"/>
    <w:rsid w:val="007A6473"/>
    <w:rsid w:val="007A6E96"/>
    <w:rsid w:val="007A73BA"/>
    <w:rsid w:val="007A7462"/>
    <w:rsid w:val="007B4366"/>
    <w:rsid w:val="007B5467"/>
    <w:rsid w:val="007B6589"/>
    <w:rsid w:val="007B740E"/>
    <w:rsid w:val="007C3A51"/>
    <w:rsid w:val="007C598E"/>
    <w:rsid w:val="007C64E8"/>
    <w:rsid w:val="007C75FF"/>
    <w:rsid w:val="007D1C4E"/>
    <w:rsid w:val="007D30B7"/>
    <w:rsid w:val="007D4349"/>
    <w:rsid w:val="007D4691"/>
    <w:rsid w:val="007D55B3"/>
    <w:rsid w:val="007E2D2F"/>
    <w:rsid w:val="007E2F62"/>
    <w:rsid w:val="007E36E9"/>
    <w:rsid w:val="007E3DD6"/>
    <w:rsid w:val="007E65A2"/>
    <w:rsid w:val="007E6BA3"/>
    <w:rsid w:val="007F03A3"/>
    <w:rsid w:val="007F0610"/>
    <w:rsid w:val="007F2B06"/>
    <w:rsid w:val="007F4547"/>
    <w:rsid w:val="007F7927"/>
    <w:rsid w:val="00801A19"/>
    <w:rsid w:val="00802F2B"/>
    <w:rsid w:val="00807551"/>
    <w:rsid w:val="0081135B"/>
    <w:rsid w:val="00813C1C"/>
    <w:rsid w:val="008148F7"/>
    <w:rsid w:val="00814FD5"/>
    <w:rsid w:val="008206C0"/>
    <w:rsid w:val="0082213C"/>
    <w:rsid w:val="008240A5"/>
    <w:rsid w:val="00826726"/>
    <w:rsid w:val="00827F88"/>
    <w:rsid w:val="008300C7"/>
    <w:rsid w:val="00835934"/>
    <w:rsid w:val="00836627"/>
    <w:rsid w:val="00837AC0"/>
    <w:rsid w:val="00837F41"/>
    <w:rsid w:val="00840D85"/>
    <w:rsid w:val="00841C23"/>
    <w:rsid w:val="00842BB8"/>
    <w:rsid w:val="0085022D"/>
    <w:rsid w:val="00850B05"/>
    <w:rsid w:val="00850EFC"/>
    <w:rsid w:val="00851963"/>
    <w:rsid w:val="008534BC"/>
    <w:rsid w:val="00853A94"/>
    <w:rsid w:val="00855963"/>
    <w:rsid w:val="0085671A"/>
    <w:rsid w:val="00856F89"/>
    <w:rsid w:val="00860D8E"/>
    <w:rsid w:val="00865DE2"/>
    <w:rsid w:val="00866220"/>
    <w:rsid w:val="00866438"/>
    <w:rsid w:val="00871544"/>
    <w:rsid w:val="00871EB7"/>
    <w:rsid w:val="008731A9"/>
    <w:rsid w:val="0087432A"/>
    <w:rsid w:val="00875DB3"/>
    <w:rsid w:val="0087714C"/>
    <w:rsid w:val="00877DC3"/>
    <w:rsid w:val="00880246"/>
    <w:rsid w:val="008814D1"/>
    <w:rsid w:val="00887BD0"/>
    <w:rsid w:val="00887D3B"/>
    <w:rsid w:val="0089043C"/>
    <w:rsid w:val="00892098"/>
    <w:rsid w:val="008A00C7"/>
    <w:rsid w:val="008A18F6"/>
    <w:rsid w:val="008A1AA8"/>
    <w:rsid w:val="008A6222"/>
    <w:rsid w:val="008A7C27"/>
    <w:rsid w:val="008B0BBF"/>
    <w:rsid w:val="008B50D6"/>
    <w:rsid w:val="008B5593"/>
    <w:rsid w:val="008C191A"/>
    <w:rsid w:val="008C6057"/>
    <w:rsid w:val="008C7AB5"/>
    <w:rsid w:val="008D5001"/>
    <w:rsid w:val="008E164A"/>
    <w:rsid w:val="008E3F94"/>
    <w:rsid w:val="008E46CF"/>
    <w:rsid w:val="008E4784"/>
    <w:rsid w:val="008F17B3"/>
    <w:rsid w:val="008F1EB4"/>
    <w:rsid w:val="008F3AA4"/>
    <w:rsid w:val="008F4EF6"/>
    <w:rsid w:val="00900DBD"/>
    <w:rsid w:val="00901CE8"/>
    <w:rsid w:val="00901D21"/>
    <w:rsid w:val="00902415"/>
    <w:rsid w:val="009024C4"/>
    <w:rsid w:val="00902577"/>
    <w:rsid w:val="0090459B"/>
    <w:rsid w:val="00905353"/>
    <w:rsid w:val="00913027"/>
    <w:rsid w:val="00915B06"/>
    <w:rsid w:val="00922DE3"/>
    <w:rsid w:val="0092636F"/>
    <w:rsid w:val="009270AC"/>
    <w:rsid w:val="00930F56"/>
    <w:rsid w:val="00931813"/>
    <w:rsid w:val="00932324"/>
    <w:rsid w:val="00933D61"/>
    <w:rsid w:val="009348C5"/>
    <w:rsid w:val="00937E1A"/>
    <w:rsid w:val="0094134A"/>
    <w:rsid w:val="00944ADF"/>
    <w:rsid w:val="00950E74"/>
    <w:rsid w:val="00951EEE"/>
    <w:rsid w:val="00952245"/>
    <w:rsid w:val="009533D9"/>
    <w:rsid w:val="00955E7D"/>
    <w:rsid w:val="00956E63"/>
    <w:rsid w:val="00963239"/>
    <w:rsid w:val="009668D9"/>
    <w:rsid w:val="00967C27"/>
    <w:rsid w:val="009721E7"/>
    <w:rsid w:val="009765A0"/>
    <w:rsid w:val="00980CE5"/>
    <w:rsid w:val="009830A8"/>
    <w:rsid w:val="00987458"/>
    <w:rsid w:val="00990BBD"/>
    <w:rsid w:val="00991691"/>
    <w:rsid w:val="00992910"/>
    <w:rsid w:val="00992BE4"/>
    <w:rsid w:val="00992CD4"/>
    <w:rsid w:val="009934BA"/>
    <w:rsid w:val="00995D61"/>
    <w:rsid w:val="009A4F8A"/>
    <w:rsid w:val="009A58C8"/>
    <w:rsid w:val="009A6AF5"/>
    <w:rsid w:val="009A6C0E"/>
    <w:rsid w:val="009A7BC3"/>
    <w:rsid w:val="009B07E8"/>
    <w:rsid w:val="009B6EEB"/>
    <w:rsid w:val="009C0080"/>
    <w:rsid w:val="009C05B4"/>
    <w:rsid w:val="009C13F1"/>
    <w:rsid w:val="009C2A93"/>
    <w:rsid w:val="009C4E95"/>
    <w:rsid w:val="009C5403"/>
    <w:rsid w:val="009C7B03"/>
    <w:rsid w:val="009D1024"/>
    <w:rsid w:val="009D250E"/>
    <w:rsid w:val="009D37DD"/>
    <w:rsid w:val="009D3F7F"/>
    <w:rsid w:val="009E022B"/>
    <w:rsid w:val="009E0E34"/>
    <w:rsid w:val="009E14DB"/>
    <w:rsid w:val="009E1D7C"/>
    <w:rsid w:val="009E1E84"/>
    <w:rsid w:val="009E1EC1"/>
    <w:rsid w:val="009E1F5C"/>
    <w:rsid w:val="009F09F4"/>
    <w:rsid w:val="009F24D0"/>
    <w:rsid w:val="009F455F"/>
    <w:rsid w:val="009F5D6F"/>
    <w:rsid w:val="009F5F64"/>
    <w:rsid w:val="009F60AA"/>
    <w:rsid w:val="00A04018"/>
    <w:rsid w:val="00A05A94"/>
    <w:rsid w:val="00A061B4"/>
    <w:rsid w:val="00A06495"/>
    <w:rsid w:val="00A11259"/>
    <w:rsid w:val="00A11AFE"/>
    <w:rsid w:val="00A14D76"/>
    <w:rsid w:val="00A16062"/>
    <w:rsid w:val="00A16937"/>
    <w:rsid w:val="00A2339D"/>
    <w:rsid w:val="00A25983"/>
    <w:rsid w:val="00A27367"/>
    <w:rsid w:val="00A32D98"/>
    <w:rsid w:val="00A3368F"/>
    <w:rsid w:val="00A35DCB"/>
    <w:rsid w:val="00A37256"/>
    <w:rsid w:val="00A41075"/>
    <w:rsid w:val="00A43FBF"/>
    <w:rsid w:val="00A44FB6"/>
    <w:rsid w:val="00A52A1A"/>
    <w:rsid w:val="00A539FD"/>
    <w:rsid w:val="00A5652A"/>
    <w:rsid w:val="00A61210"/>
    <w:rsid w:val="00A61DEA"/>
    <w:rsid w:val="00A639FE"/>
    <w:rsid w:val="00A66B22"/>
    <w:rsid w:val="00A718CA"/>
    <w:rsid w:val="00A74472"/>
    <w:rsid w:val="00A74EEB"/>
    <w:rsid w:val="00A75B3B"/>
    <w:rsid w:val="00A75F29"/>
    <w:rsid w:val="00A76DD7"/>
    <w:rsid w:val="00A77859"/>
    <w:rsid w:val="00A83B4E"/>
    <w:rsid w:val="00A84498"/>
    <w:rsid w:val="00A85465"/>
    <w:rsid w:val="00A8599A"/>
    <w:rsid w:val="00A86012"/>
    <w:rsid w:val="00A911DD"/>
    <w:rsid w:val="00A92EE6"/>
    <w:rsid w:val="00A93E58"/>
    <w:rsid w:val="00A946A4"/>
    <w:rsid w:val="00A96D84"/>
    <w:rsid w:val="00A971B9"/>
    <w:rsid w:val="00AA6FB3"/>
    <w:rsid w:val="00AB20F9"/>
    <w:rsid w:val="00AB4B87"/>
    <w:rsid w:val="00AB6A3A"/>
    <w:rsid w:val="00AB7665"/>
    <w:rsid w:val="00AC1458"/>
    <w:rsid w:val="00AD0467"/>
    <w:rsid w:val="00AD3758"/>
    <w:rsid w:val="00AE20AE"/>
    <w:rsid w:val="00AE3082"/>
    <w:rsid w:val="00AE5677"/>
    <w:rsid w:val="00B02E17"/>
    <w:rsid w:val="00B06D7B"/>
    <w:rsid w:val="00B1026E"/>
    <w:rsid w:val="00B11CCC"/>
    <w:rsid w:val="00B11F1D"/>
    <w:rsid w:val="00B130E3"/>
    <w:rsid w:val="00B20136"/>
    <w:rsid w:val="00B228DB"/>
    <w:rsid w:val="00B23254"/>
    <w:rsid w:val="00B23D96"/>
    <w:rsid w:val="00B2776B"/>
    <w:rsid w:val="00B32FBF"/>
    <w:rsid w:val="00B4230D"/>
    <w:rsid w:val="00B4438A"/>
    <w:rsid w:val="00B528E0"/>
    <w:rsid w:val="00B53147"/>
    <w:rsid w:val="00B565F9"/>
    <w:rsid w:val="00B570F9"/>
    <w:rsid w:val="00B659F5"/>
    <w:rsid w:val="00B75188"/>
    <w:rsid w:val="00B75B64"/>
    <w:rsid w:val="00B83D7B"/>
    <w:rsid w:val="00B8557B"/>
    <w:rsid w:val="00B907AF"/>
    <w:rsid w:val="00B92020"/>
    <w:rsid w:val="00B96136"/>
    <w:rsid w:val="00B97795"/>
    <w:rsid w:val="00BA1B18"/>
    <w:rsid w:val="00BA1D59"/>
    <w:rsid w:val="00BA5C8C"/>
    <w:rsid w:val="00BA68C8"/>
    <w:rsid w:val="00BB026E"/>
    <w:rsid w:val="00BB085D"/>
    <w:rsid w:val="00BB1C0B"/>
    <w:rsid w:val="00BB1DE8"/>
    <w:rsid w:val="00BB3CBE"/>
    <w:rsid w:val="00BC223C"/>
    <w:rsid w:val="00BC6996"/>
    <w:rsid w:val="00BC6E25"/>
    <w:rsid w:val="00BC72EE"/>
    <w:rsid w:val="00BD09F7"/>
    <w:rsid w:val="00BE070C"/>
    <w:rsid w:val="00BE1E9E"/>
    <w:rsid w:val="00BE3AF9"/>
    <w:rsid w:val="00BE518F"/>
    <w:rsid w:val="00BE6B34"/>
    <w:rsid w:val="00BF1160"/>
    <w:rsid w:val="00BF3861"/>
    <w:rsid w:val="00BF3C16"/>
    <w:rsid w:val="00BF5D6D"/>
    <w:rsid w:val="00BF786E"/>
    <w:rsid w:val="00C011C6"/>
    <w:rsid w:val="00C01886"/>
    <w:rsid w:val="00C025AA"/>
    <w:rsid w:val="00C028BC"/>
    <w:rsid w:val="00C03E0E"/>
    <w:rsid w:val="00C0403B"/>
    <w:rsid w:val="00C05C11"/>
    <w:rsid w:val="00C07675"/>
    <w:rsid w:val="00C10658"/>
    <w:rsid w:val="00C16016"/>
    <w:rsid w:val="00C165FD"/>
    <w:rsid w:val="00C16BAB"/>
    <w:rsid w:val="00C34837"/>
    <w:rsid w:val="00C36C57"/>
    <w:rsid w:val="00C42987"/>
    <w:rsid w:val="00C433C1"/>
    <w:rsid w:val="00C508AE"/>
    <w:rsid w:val="00C51F65"/>
    <w:rsid w:val="00C53F91"/>
    <w:rsid w:val="00C53FC0"/>
    <w:rsid w:val="00C5537F"/>
    <w:rsid w:val="00C56A7A"/>
    <w:rsid w:val="00C6245A"/>
    <w:rsid w:val="00C64041"/>
    <w:rsid w:val="00C65D7B"/>
    <w:rsid w:val="00C66B6D"/>
    <w:rsid w:val="00C67405"/>
    <w:rsid w:val="00C676F0"/>
    <w:rsid w:val="00C824F0"/>
    <w:rsid w:val="00C83394"/>
    <w:rsid w:val="00C877E1"/>
    <w:rsid w:val="00C90346"/>
    <w:rsid w:val="00C92980"/>
    <w:rsid w:val="00C94163"/>
    <w:rsid w:val="00C965C6"/>
    <w:rsid w:val="00CA3594"/>
    <w:rsid w:val="00CA5285"/>
    <w:rsid w:val="00CA5554"/>
    <w:rsid w:val="00CB0983"/>
    <w:rsid w:val="00CB3220"/>
    <w:rsid w:val="00CC7026"/>
    <w:rsid w:val="00CC72AD"/>
    <w:rsid w:val="00CD1149"/>
    <w:rsid w:val="00CD3EE8"/>
    <w:rsid w:val="00CE1073"/>
    <w:rsid w:val="00CE3E2D"/>
    <w:rsid w:val="00CE4302"/>
    <w:rsid w:val="00CE4467"/>
    <w:rsid w:val="00CE4E6F"/>
    <w:rsid w:val="00CE61E6"/>
    <w:rsid w:val="00CF0D0E"/>
    <w:rsid w:val="00CF1223"/>
    <w:rsid w:val="00CF6821"/>
    <w:rsid w:val="00D00F85"/>
    <w:rsid w:val="00D0277C"/>
    <w:rsid w:val="00D034CC"/>
    <w:rsid w:val="00D0391C"/>
    <w:rsid w:val="00D05B9F"/>
    <w:rsid w:val="00D07C79"/>
    <w:rsid w:val="00D13562"/>
    <w:rsid w:val="00D1493B"/>
    <w:rsid w:val="00D14CED"/>
    <w:rsid w:val="00D1519F"/>
    <w:rsid w:val="00D2255E"/>
    <w:rsid w:val="00D24A99"/>
    <w:rsid w:val="00D25D4F"/>
    <w:rsid w:val="00D30306"/>
    <w:rsid w:val="00D318BC"/>
    <w:rsid w:val="00D325C7"/>
    <w:rsid w:val="00D3628A"/>
    <w:rsid w:val="00D40ADA"/>
    <w:rsid w:val="00D40D1E"/>
    <w:rsid w:val="00D43A9B"/>
    <w:rsid w:val="00D45148"/>
    <w:rsid w:val="00D45772"/>
    <w:rsid w:val="00D4629A"/>
    <w:rsid w:val="00D466B1"/>
    <w:rsid w:val="00D4796E"/>
    <w:rsid w:val="00D47A91"/>
    <w:rsid w:val="00D47E38"/>
    <w:rsid w:val="00D576FD"/>
    <w:rsid w:val="00D57D31"/>
    <w:rsid w:val="00D60377"/>
    <w:rsid w:val="00D80AAE"/>
    <w:rsid w:val="00D81B9C"/>
    <w:rsid w:val="00D8425C"/>
    <w:rsid w:val="00D92CC7"/>
    <w:rsid w:val="00D93B21"/>
    <w:rsid w:val="00D96DCC"/>
    <w:rsid w:val="00DA01A4"/>
    <w:rsid w:val="00DA0EE4"/>
    <w:rsid w:val="00DA238C"/>
    <w:rsid w:val="00DA3615"/>
    <w:rsid w:val="00DA49FC"/>
    <w:rsid w:val="00DA628A"/>
    <w:rsid w:val="00DA6C9D"/>
    <w:rsid w:val="00DA7F9D"/>
    <w:rsid w:val="00DB132D"/>
    <w:rsid w:val="00DB19A3"/>
    <w:rsid w:val="00DB3FFD"/>
    <w:rsid w:val="00DB58AA"/>
    <w:rsid w:val="00DC1FD5"/>
    <w:rsid w:val="00DC22F6"/>
    <w:rsid w:val="00DC6202"/>
    <w:rsid w:val="00DC67AF"/>
    <w:rsid w:val="00DD1B1A"/>
    <w:rsid w:val="00DD3018"/>
    <w:rsid w:val="00DD42AC"/>
    <w:rsid w:val="00DD54E9"/>
    <w:rsid w:val="00DD5959"/>
    <w:rsid w:val="00DE2029"/>
    <w:rsid w:val="00DE2910"/>
    <w:rsid w:val="00DE3A7E"/>
    <w:rsid w:val="00DE57FD"/>
    <w:rsid w:val="00DE70BD"/>
    <w:rsid w:val="00DF1969"/>
    <w:rsid w:val="00DF3D03"/>
    <w:rsid w:val="00DF3DF4"/>
    <w:rsid w:val="00DF599A"/>
    <w:rsid w:val="00E12091"/>
    <w:rsid w:val="00E12816"/>
    <w:rsid w:val="00E14720"/>
    <w:rsid w:val="00E157DD"/>
    <w:rsid w:val="00E17F9A"/>
    <w:rsid w:val="00E200F4"/>
    <w:rsid w:val="00E23A4D"/>
    <w:rsid w:val="00E23C90"/>
    <w:rsid w:val="00E23EC6"/>
    <w:rsid w:val="00E2771E"/>
    <w:rsid w:val="00E30E31"/>
    <w:rsid w:val="00E319A8"/>
    <w:rsid w:val="00E31E00"/>
    <w:rsid w:val="00E32165"/>
    <w:rsid w:val="00E32A88"/>
    <w:rsid w:val="00E357BA"/>
    <w:rsid w:val="00E40D52"/>
    <w:rsid w:val="00E45568"/>
    <w:rsid w:val="00E46B17"/>
    <w:rsid w:val="00E51F69"/>
    <w:rsid w:val="00E5426E"/>
    <w:rsid w:val="00E54901"/>
    <w:rsid w:val="00E55826"/>
    <w:rsid w:val="00E57E66"/>
    <w:rsid w:val="00E60B70"/>
    <w:rsid w:val="00E65F5B"/>
    <w:rsid w:val="00E71964"/>
    <w:rsid w:val="00E721AD"/>
    <w:rsid w:val="00E736B2"/>
    <w:rsid w:val="00E744D3"/>
    <w:rsid w:val="00E83818"/>
    <w:rsid w:val="00E86526"/>
    <w:rsid w:val="00E868A9"/>
    <w:rsid w:val="00E87128"/>
    <w:rsid w:val="00E87645"/>
    <w:rsid w:val="00E87FA5"/>
    <w:rsid w:val="00E91D11"/>
    <w:rsid w:val="00EA10EC"/>
    <w:rsid w:val="00EA21CF"/>
    <w:rsid w:val="00EA248B"/>
    <w:rsid w:val="00EB48E2"/>
    <w:rsid w:val="00EB6550"/>
    <w:rsid w:val="00EB68D5"/>
    <w:rsid w:val="00EC1011"/>
    <w:rsid w:val="00EC43FC"/>
    <w:rsid w:val="00EC5504"/>
    <w:rsid w:val="00EC7BAD"/>
    <w:rsid w:val="00ED4586"/>
    <w:rsid w:val="00EE2074"/>
    <w:rsid w:val="00EE26D1"/>
    <w:rsid w:val="00EE3868"/>
    <w:rsid w:val="00EE55E7"/>
    <w:rsid w:val="00EE5898"/>
    <w:rsid w:val="00EF4883"/>
    <w:rsid w:val="00EF5AC4"/>
    <w:rsid w:val="00F005B8"/>
    <w:rsid w:val="00F01E0C"/>
    <w:rsid w:val="00F06A2A"/>
    <w:rsid w:val="00F076A4"/>
    <w:rsid w:val="00F07C3D"/>
    <w:rsid w:val="00F13A0D"/>
    <w:rsid w:val="00F13B35"/>
    <w:rsid w:val="00F1700E"/>
    <w:rsid w:val="00F2065D"/>
    <w:rsid w:val="00F22248"/>
    <w:rsid w:val="00F23BD3"/>
    <w:rsid w:val="00F26A9A"/>
    <w:rsid w:val="00F30840"/>
    <w:rsid w:val="00F3215E"/>
    <w:rsid w:val="00F32D2C"/>
    <w:rsid w:val="00F40747"/>
    <w:rsid w:val="00F41258"/>
    <w:rsid w:val="00F4129D"/>
    <w:rsid w:val="00F43963"/>
    <w:rsid w:val="00F44043"/>
    <w:rsid w:val="00F5086C"/>
    <w:rsid w:val="00F51B19"/>
    <w:rsid w:val="00F546C3"/>
    <w:rsid w:val="00F64B4C"/>
    <w:rsid w:val="00F65D56"/>
    <w:rsid w:val="00F662BE"/>
    <w:rsid w:val="00F6791D"/>
    <w:rsid w:val="00F70C0A"/>
    <w:rsid w:val="00F7733B"/>
    <w:rsid w:val="00F8326F"/>
    <w:rsid w:val="00F83C28"/>
    <w:rsid w:val="00F8465A"/>
    <w:rsid w:val="00F8555E"/>
    <w:rsid w:val="00F87CFF"/>
    <w:rsid w:val="00F9295B"/>
    <w:rsid w:val="00F95061"/>
    <w:rsid w:val="00F95B47"/>
    <w:rsid w:val="00F96730"/>
    <w:rsid w:val="00FA016A"/>
    <w:rsid w:val="00FA04D5"/>
    <w:rsid w:val="00FA10A4"/>
    <w:rsid w:val="00FB337C"/>
    <w:rsid w:val="00FB3D52"/>
    <w:rsid w:val="00FB55A0"/>
    <w:rsid w:val="00FB7BB8"/>
    <w:rsid w:val="00FC1A53"/>
    <w:rsid w:val="00FC5E27"/>
    <w:rsid w:val="00FC7CE8"/>
    <w:rsid w:val="00FD43C0"/>
    <w:rsid w:val="00FD4454"/>
    <w:rsid w:val="00FD579F"/>
    <w:rsid w:val="00FD5B6D"/>
    <w:rsid w:val="00FE2145"/>
    <w:rsid w:val="00FE5FE7"/>
    <w:rsid w:val="00FF1B38"/>
    <w:rsid w:val="010C8805"/>
    <w:rsid w:val="03DD34D9"/>
    <w:rsid w:val="0C5B503F"/>
    <w:rsid w:val="1250A2FA"/>
    <w:rsid w:val="1AA10459"/>
    <w:rsid w:val="1B474FE3"/>
    <w:rsid w:val="1BBA0843"/>
    <w:rsid w:val="1C1F53D9"/>
    <w:rsid w:val="1DDE50B0"/>
    <w:rsid w:val="20195389"/>
    <w:rsid w:val="25578DA9"/>
    <w:rsid w:val="26FC9422"/>
    <w:rsid w:val="2BE0DA55"/>
    <w:rsid w:val="2C868B2F"/>
    <w:rsid w:val="2CB3A409"/>
    <w:rsid w:val="30E536EB"/>
    <w:rsid w:val="313D8D7E"/>
    <w:rsid w:val="3D2B6B06"/>
    <w:rsid w:val="412DCAFE"/>
    <w:rsid w:val="46B5E5F6"/>
    <w:rsid w:val="497386BB"/>
    <w:rsid w:val="4E773A9B"/>
    <w:rsid w:val="51CBCF7A"/>
    <w:rsid w:val="541498DD"/>
    <w:rsid w:val="542E3386"/>
    <w:rsid w:val="580D6BE3"/>
    <w:rsid w:val="588158EA"/>
    <w:rsid w:val="5935A439"/>
    <w:rsid w:val="5A040796"/>
    <w:rsid w:val="5E94531A"/>
    <w:rsid w:val="5F9776FC"/>
    <w:rsid w:val="5FBBFEF4"/>
    <w:rsid w:val="5FC51DE9"/>
    <w:rsid w:val="60980111"/>
    <w:rsid w:val="62D0A4E8"/>
    <w:rsid w:val="62E63A0F"/>
    <w:rsid w:val="6B17BD99"/>
    <w:rsid w:val="6BA818B0"/>
    <w:rsid w:val="6D166EB1"/>
    <w:rsid w:val="6EA05066"/>
    <w:rsid w:val="73843531"/>
    <w:rsid w:val="76CFE902"/>
    <w:rsid w:val="77718124"/>
    <w:rsid w:val="77AF7660"/>
    <w:rsid w:val="7CA3D64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E55A5E"/>
  <w15:chartTrackingRefBased/>
  <w15:docId w15:val="{5230EA18-7E8B-4D3E-8873-64B4A3B83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74C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74C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74C2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74C2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74C2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74C2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74C2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74C2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74C2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4C2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74C2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74C2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74C2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74C2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74C2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74C2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74C2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74C21"/>
    <w:rPr>
      <w:rFonts w:eastAsiaTheme="majorEastAsia" w:cstheme="majorBidi"/>
      <w:color w:val="272727" w:themeColor="text1" w:themeTint="D8"/>
    </w:rPr>
  </w:style>
  <w:style w:type="paragraph" w:styleId="Title">
    <w:name w:val="Title"/>
    <w:basedOn w:val="Normal"/>
    <w:next w:val="Normal"/>
    <w:link w:val="TitleChar"/>
    <w:uiPriority w:val="10"/>
    <w:qFormat/>
    <w:rsid w:val="00474C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4C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4C2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74C2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74C21"/>
    <w:pPr>
      <w:spacing w:before="160"/>
      <w:jc w:val="center"/>
    </w:pPr>
    <w:rPr>
      <w:i/>
      <w:iCs/>
      <w:color w:val="404040" w:themeColor="text1" w:themeTint="BF"/>
    </w:rPr>
  </w:style>
  <w:style w:type="character" w:customStyle="1" w:styleId="QuoteChar">
    <w:name w:val="Quote Char"/>
    <w:basedOn w:val="DefaultParagraphFont"/>
    <w:link w:val="Quote"/>
    <w:uiPriority w:val="29"/>
    <w:rsid w:val="00474C21"/>
    <w:rPr>
      <w:i/>
      <w:iCs/>
      <w:color w:val="404040" w:themeColor="text1" w:themeTint="BF"/>
    </w:rPr>
  </w:style>
  <w:style w:type="paragraph" w:styleId="ListParagraph">
    <w:name w:val="List Paragraph"/>
    <w:basedOn w:val="Normal"/>
    <w:uiPriority w:val="34"/>
    <w:qFormat/>
    <w:rsid w:val="00474C21"/>
    <w:pPr>
      <w:ind w:left="720"/>
      <w:contextualSpacing/>
    </w:pPr>
  </w:style>
  <w:style w:type="character" w:styleId="IntenseEmphasis">
    <w:name w:val="Intense Emphasis"/>
    <w:basedOn w:val="DefaultParagraphFont"/>
    <w:uiPriority w:val="21"/>
    <w:qFormat/>
    <w:rsid w:val="00474C21"/>
    <w:rPr>
      <w:i/>
      <w:iCs/>
      <w:color w:val="0F4761" w:themeColor="accent1" w:themeShade="BF"/>
    </w:rPr>
  </w:style>
  <w:style w:type="paragraph" w:styleId="IntenseQuote">
    <w:name w:val="Intense Quote"/>
    <w:basedOn w:val="Normal"/>
    <w:next w:val="Normal"/>
    <w:link w:val="IntenseQuoteChar"/>
    <w:uiPriority w:val="30"/>
    <w:qFormat/>
    <w:rsid w:val="00474C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74C21"/>
    <w:rPr>
      <w:i/>
      <w:iCs/>
      <w:color w:val="0F4761" w:themeColor="accent1" w:themeShade="BF"/>
    </w:rPr>
  </w:style>
  <w:style w:type="character" w:styleId="IntenseReference">
    <w:name w:val="Intense Reference"/>
    <w:basedOn w:val="DefaultParagraphFont"/>
    <w:uiPriority w:val="32"/>
    <w:qFormat/>
    <w:rsid w:val="00474C21"/>
    <w:rPr>
      <w:b/>
      <w:bCs/>
      <w:smallCaps/>
      <w:color w:val="0F4761" w:themeColor="accent1" w:themeShade="BF"/>
      <w:spacing w:val="5"/>
    </w:rPr>
  </w:style>
  <w:style w:type="character" w:styleId="Hyperlink">
    <w:name w:val="Hyperlink"/>
    <w:basedOn w:val="DefaultParagraphFont"/>
    <w:uiPriority w:val="99"/>
    <w:unhideWhenUsed/>
    <w:rsid w:val="003E05C9"/>
    <w:rPr>
      <w:color w:val="467886" w:themeColor="hyperlink"/>
      <w:u w:val="single"/>
    </w:rPr>
  </w:style>
  <w:style w:type="character" w:styleId="UnresolvedMention">
    <w:name w:val="Unresolved Mention"/>
    <w:basedOn w:val="DefaultParagraphFont"/>
    <w:uiPriority w:val="99"/>
    <w:semiHidden/>
    <w:unhideWhenUsed/>
    <w:rsid w:val="003E05C9"/>
    <w:rPr>
      <w:color w:val="605E5C"/>
      <w:shd w:val="clear" w:color="auto" w:fill="E1DFDD"/>
    </w:rPr>
  </w:style>
  <w:style w:type="paragraph" w:styleId="Header">
    <w:name w:val="header"/>
    <w:basedOn w:val="Normal"/>
    <w:link w:val="HeaderChar"/>
    <w:uiPriority w:val="99"/>
    <w:unhideWhenUsed/>
    <w:rsid w:val="00600492"/>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0492"/>
  </w:style>
  <w:style w:type="paragraph" w:styleId="Footer">
    <w:name w:val="footer"/>
    <w:basedOn w:val="Normal"/>
    <w:link w:val="FooterChar"/>
    <w:uiPriority w:val="99"/>
    <w:unhideWhenUsed/>
    <w:rsid w:val="00600492"/>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0492"/>
  </w:style>
  <w:style w:type="character" w:styleId="FollowedHyperlink">
    <w:name w:val="FollowedHyperlink"/>
    <w:basedOn w:val="DefaultParagraphFont"/>
    <w:uiPriority w:val="99"/>
    <w:semiHidden/>
    <w:unhideWhenUsed/>
    <w:rsid w:val="0033008A"/>
    <w:rPr>
      <w:color w:val="96607D" w:themeColor="followedHyperlink"/>
      <w:u w:val="single"/>
    </w:rPr>
  </w:style>
  <w:style w:type="paragraph" w:styleId="FootnoteText">
    <w:name w:val="footnote text"/>
    <w:basedOn w:val="Normal"/>
    <w:link w:val="FootnoteTextChar"/>
    <w:uiPriority w:val="99"/>
    <w:semiHidden/>
    <w:unhideWhenUsed/>
    <w:rsid w:val="00581EA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81EA0"/>
    <w:rPr>
      <w:sz w:val="20"/>
      <w:szCs w:val="20"/>
    </w:rPr>
  </w:style>
  <w:style w:type="character" w:styleId="FootnoteReference">
    <w:name w:val="footnote reference"/>
    <w:basedOn w:val="DefaultParagraphFont"/>
    <w:uiPriority w:val="99"/>
    <w:semiHidden/>
    <w:unhideWhenUsed/>
    <w:rsid w:val="00581EA0"/>
    <w:rPr>
      <w:vertAlign w:val="superscript"/>
    </w:rPr>
  </w:style>
  <w:style w:type="paragraph" w:styleId="NormalWeb">
    <w:name w:val="Normal (Web)"/>
    <w:basedOn w:val="Normal"/>
    <w:uiPriority w:val="99"/>
    <w:semiHidden/>
    <w:unhideWhenUsed/>
    <w:rsid w:val="00243D75"/>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875DB3"/>
    <w:rPr>
      <w:sz w:val="16"/>
      <w:szCs w:val="16"/>
    </w:rPr>
  </w:style>
  <w:style w:type="paragraph" w:styleId="CommentText">
    <w:name w:val="annotation text"/>
    <w:basedOn w:val="Normal"/>
    <w:link w:val="CommentTextChar"/>
    <w:uiPriority w:val="99"/>
    <w:unhideWhenUsed/>
    <w:rsid w:val="00875DB3"/>
    <w:pPr>
      <w:spacing w:line="240" w:lineRule="auto"/>
    </w:pPr>
    <w:rPr>
      <w:sz w:val="20"/>
      <w:szCs w:val="20"/>
    </w:rPr>
  </w:style>
  <w:style w:type="character" w:customStyle="1" w:styleId="CommentTextChar">
    <w:name w:val="Comment Text Char"/>
    <w:basedOn w:val="DefaultParagraphFont"/>
    <w:link w:val="CommentText"/>
    <w:uiPriority w:val="99"/>
    <w:rsid w:val="00875DB3"/>
    <w:rPr>
      <w:sz w:val="20"/>
      <w:szCs w:val="20"/>
    </w:rPr>
  </w:style>
  <w:style w:type="paragraph" w:styleId="CommentSubject">
    <w:name w:val="annotation subject"/>
    <w:basedOn w:val="CommentText"/>
    <w:next w:val="CommentText"/>
    <w:link w:val="CommentSubjectChar"/>
    <w:uiPriority w:val="99"/>
    <w:semiHidden/>
    <w:unhideWhenUsed/>
    <w:rsid w:val="00875DB3"/>
    <w:rPr>
      <w:b/>
      <w:bCs/>
    </w:rPr>
  </w:style>
  <w:style w:type="character" w:customStyle="1" w:styleId="CommentSubjectChar">
    <w:name w:val="Comment Subject Char"/>
    <w:basedOn w:val="CommentTextChar"/>
    <w:link w:val="CommentSubject"/>
    <w:uiPriority w:val="99"/>
    <w:semiHidden/>
    <w:rsid w:val="00875DB3"/>
    <w:rPr>
      <w:b/>
      <w:bCs/>
      <w:sz w:val="20"/>
      <w:szCs w:val="20"/>
    </w:rPr>
  </w:style>
  <w:style w:type="character" w:styleId="Mention">
    <w:name w:val="Mention"/>
    <w:basedOn w:val="DefaultParagraphFont"/>
    <w:uiPriority w:val="99"/>
    <w:unhideWhenUsed/>
    <w:rsid w:val="00875DB3"/>
    <w:rPr>
      <w:color w:val="2B579A"/>
      <w:shd w:val="clear" w:color="auto" w:fill="E1DFDD"/>
    </w:rPr>
  </w:style>
  <w:style w:type="paragraph" w:styleId="Revision">
    <w:name w:val="Revision"/>
    <w:hidden/>
    <w:uiPriority w:val="99"/>
    <w:semiHidden/>
    <w:rsid w:val="00D13562"/>
    <w:pPr>
      <w:spacing w:after="0" w:line="240" w:lineRule="auto"/>
    </w:pPr>
  </w:style>
  <w:style w:type="table" w:styleId="TableGrid">
    <w:name w:val="Table Grid"/>
    <w:basedOn w:val="TableNormal"/>
    <w:uiPriority w:val="39"/>
    <w:rsid w:val="00636C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742627">
      <w:bodyDiv w:val="1"/>
      <w:marLeft w:val="0"/>
      <w:marRight w:val="0"/>
      <w:marTop w:val="0"/>
      <w:marBottom w:val="0"/>
      <w:divBdr>
        <w:top w:val="none" w:sz="0" w:space="0" w:color="auto"/>
        <w:left w:val="none" w:sz="0" w:space="0" w:color="auto"/>
        <w:bottom w:val="none" w:sz="0" w:space="0" w:color="auto"/>
        <w:right w:val="none" w:sz="0" w:space="0" w:color="auto"/>
      </w:divBdr>
    </w:div>
    <w:div w:id="256908091">
      <w:bodyDiv w:val="1"/>
      <w:marLeft w:val="0"/>
      <w:marRight w:val="0"/>
      <w:marTop w:val="0"/>
      <w:marBottom w:val="0"/>
      <w:divBdr>
        <w:top w:val="none" w:sz="0" w:space="0" w:color="auto"/>
        <w:left w:val="none" w:sz="0" w:space="0" w:color="auto"/>
        <w:bottom w:val="none" w:sz="0" w:space="0" w:color="auto"/>
        <w:right w:val="none" w:sz="0" w:space="0" w:color="auto"/>
      </w:divBdr>
    </w:div>
    <w:div w:id="384839603">
      <w:bodyDiv w:val="1"/>
      <w:marLeft w:val="0"/>
      <w:marRight w:val="0"/>
      <w:marTop w:val="0"/>
      <w:marBottom w:val="0"/>
      <w:divBdr>
        <w:top w:val="none" w:sz="0" w:space="0" w:color="auto"/>
        <w:left w:val="none" w:sz="0" w:space="0" w:color="auto"/>
        <w:bottom w:val="none" w:sz="0" w:space="0" w:color="auto"/>
        <w:right w:val="none" w:sz="0" w:space="0" w:color="auto"/>
      </w:divBdr>
    </w:div>
    <w:div w:id="388499545">
      <w:bodyDiv w:val="1"/>
      <w:marLeft w:val="0"/>
      <w:marRight w:val="0"/>
      <w:marTop w:val="0"/>
      <w:marBottom w:val="0"/>
      <w:divBdr>
        <w:top w:val="none" w:sz="0" w:space="0" w:color="auto"/>
        <w:left w:val="none" w:sz="0" w:space="0" w:color="auto"/>
        <w:bottom w:val="none" w:sz="0" w:space="0" w:color="auto"/>
        <w:right w:val="none" w:sz="0" w:space="0" w:color="auto"/>
      </w:divBdr>
    </w:div>
    <w:div w:id="707072123">
      <w:bodyDiv w:val="1"/>
      <w:marLeft w:val="0"/>
      <w:marRight w:val="0"/>
      <w:marTop w:val="0"/>
      <w:marBottom w:val="0"/>
      <w:divBdr>
        <w:top w:val="none" w:sz="0" w:space="0" w:color="auto"/>
        <w:left w:val="none" w:sz="0" w:space="0" w:color="auto"/>
        <w:bottom w:val="none" w:sz="0" w:space="0" w:color="auto"/>
        <w:right w:val="none" w:sz="0" w:space="0" w:color="auto"/>
      </w:divBdr>
    </w:div>
    <w:div w:id="813764208">
      <w:bodyDiv w:val="1"/>
      <w:marLeft w:val="0"/>
      <w:marRight w:val="0"/>
      <w:marTop w:val="0"/>
      <w:marBottom w:val="0"/>
      <w:divBdr>
        <w:top w:val="none" w:sz="0" w:space="0" w:color="auto"/>
        <w:left w:val="none" w:sz="0" w:space="0" w:color="auto"/>
        <w:bottom w:val="none" w:sz="0" w:space="0" w:color="auto"/>
        <w:right w:val="none" w:sz="0" w:space="0" w:color="auto"/>
      </w:divBdr>
    </w:div>
    <w:div w:id="834564368">
      <w:bodyDiv w:val="1"/>
      <w:marLeft w:val="0"/>
      <w:marRight w:val="0"/>
      <w:marTop w:val="0"/>
      <w:marBottom w:val="0"/>
      <w:divBdr>
        <w:top w:val="none" w:sz="0" w:space="0" w:color="auto"/>
        <w:left w:val="none" w:sz="0" w:space="0" w:color="auto"/>
        <w:bottom w:val="none" w:sz="0" w:space="0" w:color="auto"/>
        <w:right w:val="none" w:sz="0" w:space="0" w:color="auto"/>
      </w:divBdr>
    </w:div>
    <w:div w:id="888683763">
      <w:bodyDiv w:val="1"/>
      <w:marLeft w:val="0"/>
      <w:marRight w:val="0"/>
      <w:marTop w:val="0"/>
      <w:marBottom w:val="0"/>
      <w:divBdr>
        <w:top w:val="none" w:sz="0" w:space="0" w:color="auto"/>
        <w:left w:val="none" w:sz="0" w:space="0" w:color="auto"/>
        <w:bottom w:val="none" w:sz="0" w:space="0" w:color="auto"/>
        <w:right w:val="none" w:sz="0" w:space="0" w:color="auto"/>
      </w:divBdr>
    </w:div>
    <w:div w:id="957032194">
      <w:bodyDiv w:val="1"/>
      <w:marLeft w:val="0"/>
      <w:marRight w:val="0"/>
      <w:marTop w:val="0"/>
      <w:marBottom w:val="0"/>
      <w:divBdr>
        <w:top w:val="none" w:sz="0" w:space="0" w:color="auto"/>
        <w:left w:val="none" w:sz="0" w:space="0" w:color="auto"/>
        <w:bottom w:val="none" w:sz="0" w:space="0" w:color="auto"/>
        <w:right w:val="none" w:sz="0" w:space="0" w:color="auto"/>
      </w:divBdr>
    </w:div>
    <w:div w:id="982780334">
      <w:bodyDiv w:val="1"/>
      <w:marLeft w:val="0"/>
      <w:marRight w:val="0"/>
      <w:marTop w:val="0"/>
      <w:marBottom w:val="0"/>
      <w:divBdr>
        <w:top w:val="none" w:sz="0" w:space="0" w:color="auto"/>
        <w:left w:val="none" w:sz="0" w:space="0" w:color="auto"/>
        <w:bottom w:val="none" w:sz="0" w:space="0" w:color="auto"/>
        <w:right w:val="none" w:sz="0" w:space="0" w:color="auto"/>
      </w:divBdr>
    </w:div>
    <w:div w:id="1006519081">
      <w:bodyDiv w:val="1"/>
      <w:marLeft w:val="0"/>
      <w:marRight w:val="0"/>
      <w:marTop w:val="0"/>
      <w:marBottom w:val="0"/>
      <w:divBdr>
        <w:top w:val="none" w:sz="0" w:space="0" w:color="auto"/>
        <w:left w:val="none" w:sz="0" w:space="0" w:color="auto"/>
        <w:bottom w:val="none" w:sz="0" w:space="0" w:color="auto"/>
        <w:right w:val="none" w:sz="0" w:space="0" w:color="auto"/>
      </w:divBdr>
    </w:div>
    <w:div w:id="1081561154">
      <w:bodyDiv w:val="1"/>
      <w:marLeft w:val="0"/>
      <w:marRight w:val="0"/>
      <w:marTop w:val="0"/>
      <w:marBottom w:val="0"/>
      <w:divBdr>
        <w:top w:val="none" w:sz="0" w:space="0" w:color="auto"/>
        <w:left w:val="none" w:sz="0" w:space="0" w:color="auto"/>
        <w:bottom w:val="none" w:sz="0" w:space="0" w:color="auto"/>
        <w:right w:val="none" w:sz="0" w:space="0" w:color="auto"/>
      </w:divBdr>
    </w:div>
    <w:div w:id="1794903724">
      <w:bodyDiv w:val="1"/>
      <w:marLeft w:val="0"/>
      <w:marRight w:val="0"/>
      <w:marTop w:val="0"/>
      <w:marBottom w:val="0"/>
      <w:divBdr>
        <w:top w:val="none" w:sz="0" w:space="0" w:color="auto"/>
        <w:left w:val="none" w:sz="0" w:space="0" w:color="auto"/>
        <w:bottom w:val="none" w:sz="0" w:space="0" w:color="auto"/>
        <w:right w:val="none" w:sz="0" w:space="0" w:color="auto"/>
      </w:divBdr>
    </w:div>
    <w:div w:id="2078362146">
      <w:bodyDiv w:val="1"/>
      <w:marLeft w:val="0"/>
      <w:marRight w:val="0"/>
      <w:marTop w:val="0"/>
      <w:marBottom w:val="0"/>
      <w:divBdr>
        <w:top w:val="none" w:sz="0" w:space="0" w:color="auto"/>
        <w:left w:val="none" w:sz="0" w:space="0" w:color="auto"/>
        <w:bottom w:val="none" w:sz="0" w:space="0" w:color="auto"/>
        <w:right w:val="none" w:sz="0" w:space="0" w:color="auto"/>
      </w:divBdr>
    </w:div>
    <w:div w:id="2079205244">
      <w:bodyDiv w:val="1"/>
      <w:marLeft w:val="0"/>
      <w:marRight w:val="0"/>
      <w:marTop w:val="0"/>
      <w:marBottom w:val="0"/>
      <w:divBdr>
        <w:top w:val="none" w:sz="0" w:space="0" w:color="auto"/>
        <w:left w:val="none" w:sz="0" w:space="0" w:color="auto"/>
        <w:bottom w:val="none" w:sz="0" w:space="0" w:color="auto"/>
        <w:right w:val="none" w:sz="0" w:space="0" w:color="auto"/>
      </w:divBdr>
    </w:div>
    <w:div w:id="2086149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microsoft.com/office/2018/08/relationships/commentsExtensible" Target="commentsExtensible.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s>
</file>

<file path=word/_rels/footnotes.xml.rels><?xml version="1.0" encoding="UTF-8" standalone="yes"?>
<Relationships xmlns="http://schemas.openxmlformats.org/package/2006/relationships"><Relationship Id="rId8" Type="http://schemas.openxmlformats.org/officeDocument/2006/relationships/hyperlink" Target="https://circulareconomy.europa.eu/platform/en/news-and-events/all-news/eurostat-eus-circular-material-use-rate-rose-slightly-2022" TargetMode="External"/><Relationship Id="rId13" Type="http://schemas.openxmlformats.org/officeDocument/2006/relationships/hyperlink" Target="https://expra.eu/wp-content/uploads/2025/05/Joint-Industry-Statement-on-State-run-PROs-May-2025.pdf" TargetMode="External"/><Relationship Id="rId3" Type="http://schemas.openxmlformats.org/officeDocument/2006/relationships/hyperlink" Target="https://researchhub.wttc.org/product/circular-economy-leading-circularity-in-travel-and-tourism" TargetMode="External"/><Relationship Id="rId7" Type="http://schemas.openxmlformats.org/officeDocument/2006/relationships/hyperlink" Target="https://www3.weforum.org/docs/WEF_How_to_Create_the_Sustainable_Travel_Products_Customers_Want_2022.pdf" TargetMode="External"/><Relationship Id="rId12" Type="http://schemas.openxmlformats.org/officeDocument/2006/relationships/hyperlink" Target="https://www.ukhospitality.org.uk/wp-content/uploads/2025/03/Letter-from-UKHospitality-to-SoS-Steve-Reed-18-March-2025.pdf" TargetMode="External"/><Relationship Id="rId2" Type="http://schemas.openxmlformats.org/officeDocument/2006/relationships/hyperlink" Target="https://www.e-unwto.org/doi/book/10.18111/9789284419401" TargetMode="External"/><Relationship Id="rId16" Type="http://schemas.openxmlformats.org/officeDocument/2006/relationships/hyperlink" Target="https://www.renewablematter.eu/en/circular-economy-in-the-hospitality-industry" TargetMode="External"/><Relationship Id="rId1" Type="http://schemas.openxmlformats.org/officeDocument/2006/relationships/hyperlink" Target="https://www.ellenmacarthurfoundation.org/topics/circular-economy-introduction/overview?gad_source=1&amp;gad_campaignid=18189424489&amp;gbraid=0AAAAACb4JAeOZbbPYmO_zhZOoJDRQDali" TargetMode="External"/><Relationship Id="rId6" Type="http://schemas.openxmlformats.org/officeDocument/2006/relationships/hyperlink" Target="https://hotrec.sharepoint.com/sites/documents_letters_SP/Gedeelde%20documenten/2025/6%20-%20June%202025/RUG01-002274878_2016_0001_AC.pdf" TargetMode="External"/><Relationship Id="rId11" Type="http://schemas.openxmlformats.org/officeDocument/2006/relationships/hyperlink" Target="https://www.surinenglish.com/malaga/malaga-city/new-doortodoor-waste-collection-system-downtown-restaurants-20241206080134-nt.html" TargetMode="External"/><Relationship Id="rId5" Type="http://schemas.openxmlformats.org/officeDocument/2006/relationships/hyperlink" Target="https://hospitalityinsights.ehl.edu/hotel-sustainability-trends" TargetMode="External"/><Relationship Id="rId15" Type="http://schemas.openxmlformats.org/officeDocument/2006/relationships/hyperlink" Target="https://consult.defra.gov.uk/environmental-quality/improved-reporting-of-food-waste/supporting_documents/Impact%20Assessment_Improved%20Food%20Waste%20Reporting%202022.pdf" TargetMode="External"/><Relationship Id="rId10" Type="http://schemas.openxmlformats.org/officeDocument/2006/relationships/hyperlink" Target="https://zerowasteeurope.eu/wp-content/uploads/2020/07/2020_07_14_zwe_eeb_position-paper_harmonisation-of-waste-separate-collection_en.pdf" TargetMode="External"/><Relationship Id="rId4" Type="http://schemas.openxmlformats.org/officeDocument/2006/relationships/hyperlink" Target="https://hospitalityinsights.ehl.edu/hotel-sustainability-trends" TargetMode="External"/><Relationship Id="rId9" Type="http://schemas.openxmlformats.org/officeDocument/2006/relationships/hyperlink" Target="https://closetheglassloop.eu/wp-content/uploads/2023/10/HORECA-Study-vFINAL.pdf" TargetMode="External"/><Relationship Id="rId14" Type="http://schemas.openxmlformats.org/officeDocument/2006/relationships/hyperlink" Target="https://www.europen-packaging.eu/news/joint-industry-statement-on-ws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715ecfd4-2560-48e8-bf87-c874711645b1" xsi:nil="true"/>
    <lcf76f155ced4ddcb4097134ff3c332f xmlns="99a9ceba-819f-42de-ab07-1885fd48053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732F6093989E347A7B4AB2A587D2A58" ma:contentTypeVersion="17" ma:contentTypeDescription="Create a new document." ma:contentTypeScope="" ma:versionID="3cd44a3b503e3b492499405126f5c5ae">
  <xsd:schema xmlns:xsd="http://www.w3.org/2001/XMLSchema" xmlns:xs="http://www.w3.org/2001/XMLSchema" xmlns:p="http://schemas.microsoft.com/office/2006/metadata/properties" xmlns:ns2="99a9ceba-819f-42de-ab07-1885fd480531" xmlns:ns3="715ecfd4-2560-48e8-bf87-c874711645b1" targetNamespace="http://schemas.microsoft.com/office/2006/metadata/properties" ma:root="true" ma:fieldsID="fb80896928112bc98b990990b4f74793" ns2:_="" ns3:_="">
    <xsd:import namespace="99a9ceba-819f-42de-ab07-1885fd480531"/>
    <xsd:import namespace="715ecfd4-2560-48e8-bf87-c874711645b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a9ceba-819f-42de-ab07-1885fd4805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7c1dd1cc-89ac-4657-b281-496efa7f8928"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15ecfd4-2560-48e8-bf87-c874711645b1"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745ae5c2-bd2a-46d4-b7d0-ca28aaf31b2b}" ma:internalName="TaxCatchAll" ma:showField="CatchAllData" ma:web="715ecfd4-2560-48e8-bf87-c874711645b1">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CDED04-4092-4977-B855-B8AC93C36D09}">
  <ds:schemaRefs>
    <ds:schemaRef ds:uri="http://schemas.openxmlformats.org/officeDocument/2006/bibliography"/>
  </ds:schemaRefs>
</ds:datastoreItem>
</file>

<file path=customXml/itemProps2.xml><?xml version="1.0" encoding="utf-8"?>
<ds:datastoreItem xmlns:ds="http://schemas.openxmlformats.org/officeDocument/2006/customXml" ds:itemID="{EFCA622F-D9E4-4887-BC77-C48CE7485C3C}">
  <ds:schemaRefs>
    <ds:schemaRef ds:uri="715ecfd4-2560-48e8-bf87-c874711645b1"/>
    <ds:schemaRef ds:uri="http://schemas.openxmlformats.org/package/2006/metadata/core-properties"/>
    <ds:schemaRef ds:uri="http://www.w3.org/XML/1998/namespace"/>
    <ds:schemaRef ds:uri="99a9ceba-819f-42de-ab07-1885fd480531"/>
    <ds:schemaRef ds:uri="http://schemas.microsoft.com/office/2006/metadata/properties"/>
    <ds:schemaRef ds:uri="http://schemas.microsoft.com/office/2006/documentManagement/types"/>
    <ds:schemaRef ds:uri="http://purl.org/dc/elements/1.1/"/>
    <ds:schemaRef ds:uri="http://purl.org/dc/dcmitype/"/>
    <ds:schemaRef ds:uri="http://schemas.microsoft.com/office/infopath/2007/PartnerControls"/>
    <ds:schemaRef ds:uri="http://purl.org/dc/terms/"/>
  </ds:schemaRefs>
</ds:datastoreItem>
</file>

<file path=customXml/itemProps3.xml><?xml version="1.0" encoding="utf-8"?>
<ds:datastoreItem xmlns:ds="http://schemas.openxmlformats.org/officeDocument/2006/customXml" ds:itemID="{77FCFB5A-1D90-4081-886D-F97B4F1B9BCA}">
  <ds:schemaRefs>
    <ds:schemaRef ds:uri="http://schemas.microsoft.com/sharepoint/v3/contenttype/forms"/>
  </ds:schemaRefs>
</ds:datastoreItem>
</file>

<file path=customXml/itemProps4.xml><?xml version="1.0" encoding="utf-8"?>
<ds:datastoreItem xmlns:ds="http://schemas.openxmlformats.org/officeDocument/2006/customXml" ds:itemID="{BB6C1493-70D4-4ECB-B029-B2F0038A19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a9ceba-819f-42de-ab07-1885fd480531"/>
    <ds:schemaRef ds:uri="715ecfd4-2560-48e8-bf87-c874711645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1630</Words>
  <Characters>9297</Characters>
  <Application>Microsoft Office Word</Application>
  <DocSecurity>0</DocSecurity>
  <Lines>77</Lines>
  <Paragraphs>21</Paragraphs>
  <ScaleCrop>false</ScaleCrop>
  <Company/>
  <LinksUpToDate>false</LinksUpToDate>
  <CharactersWithSpaces>10906</CharactersWithSpaces>
  <SharedDoc>false</SharedDoc>
  <HLinks>
    <vt:vector size="102" baseType="variant">
      <vt:variant>
        <vt:i4>6881402</vt:i4>
      </vt:variant>
      <vt:variant>
        <vt:i4>45</vt:i4>
      </vt:variant>
      <vt:variant>
        <vt:i4>0</vt:i4>
      </vt:variant>
      <vt:variant>
        <vt:i4>5</vt:i4>
      </vt:variant>
      <vt:variant>
        <vt:lpwstr>https://www.renewablematter.eu/en/circular-economy-in-the-hospitality-industry</vt:lpwstr>
      </vt:variant>
      <vt:variant>
        <vt:lpwstr/>
      </vt:variant>
      <vt:variant>
        <vt:i4>1572929</vt:i4>
      </vt:variant>
      <vt:variant>
        <vt:i4>42</vt:i4>
      </vt:variant>
      <vt:variant>
        <vt:i4>0</vt:i4>
      </vt:variant>
      <vt:variant>
        <vt:i4>5</vt:i4>
      </vt:variant>
      <vt:variant>
        <vt:lpwstr>https://consult.defra.gov.uk/environmental-quality/improved-reporting-of-food-waste/supporting_documents/Impact Assessment_Improved Food Waste Reporting 2022.pdf</vt:lpwstr>
      </vt:variant>
      <vt:variant>
        <vt:lpwstr/>
      </vt:variant>
      <vt:variant>
        <vt:i4>3539044</vt:i4>
      </vt:variant>
      <vt:variant>
        <vt:i4>39</vt:i4>
      </vt:variant>
      <vt:variant>
        <vt:i4>0</vt:i4>
      </vt:variant>
      <vt:variant>
        <vt:i4>5</vt:i4>
      </vt:variant>
      <vt:variant>
        <vt:lpwstr>https://www.europen-packaging.eu/news/joint-industry-statement-on-wsl/</vt:lpwstr>
      </vt:variant>
      <vt:variant>
        <vt:lpwstr/>
      </vt:variant>
      <vt:variant>
        <vt:i4>3801205</vt:i4>
      </vt:variant>
      <vt:variant>
        <vt:i4>36</vt:i4>
      </vt:variant>
      <vt:variant>
        <vt:i4>0</vt:i4>
      </vt:variant>
      <vt:variant>
        <vt:i4>5</vt:i4>
      </vt:variant>
      <vt:variant>
        <vt:lpwstr>https://expra.eu/wp-content/uploads/2025/05/Joint-Industry-Statement-on-State-run-PROs-May-2025.pdf</vt:lpwstr>
      </vt:variant>
      <vt:variant>
        <vt:lpwstr/>
      </vt:variant>
      <vt:variant>
        <vt:i4>5636181</vt:i4>
      </vt:variant>
      <vt:variant>
        <vt:i4>33</vt:i4>
      </vt:variant>
      <vt:variant>
        <vt:i4>0</vt:i4>
      </vt:variant>
      <vt:variant>
        <vt:i4>5</vt:i4>
      </vt:variant>
      <vt:variant>
        <vt:lpwstr>https://www.ukhospitality.org.uk/wp-content/uploads/2025/03/Letter-from-UKHospitality-to-SoS-Steve-Reed-18-March-2025.pdf</vt:lpwstr>
      </vt:variant>
      <vt:variant>
        <vt:lpwstr/>
      </vt:variant>
      <vt:variant>
        <vt:i4>3604540</vt:i4>
      </vt:variant>
      <vt:variant>
        <vt:i4>30</vt:i4>
      </vt:variant>
      <vt:variant>
        <vt:i4>0</vt:i4>
      </vt:variant>
      <vt:variant>
        <vt:i4>5</vt:i4>
      </vt:variant>
      <vt:variant>
        <vt:lpwstr>https://www.surinenglish.com/malaga/malaga-city/new-doortodoor-waste-collection-system-downtown-restaurants-20241206080134-nt.html</vt:lpwstr>
      </vt:variant>
      <vt:variant>
        <vt:lpwstr/>
      </vt:variant>
      <vt:variant>
        <vt:i4>1310772</vt:i4>
      </vt:variant>
      <vt:variant>
        <vt:i4>27</vt:i4>
      </vt:variant>
      <vt:variant>
        <vt:i4>0</vt:i4>
      </vt:variant>
      <vt:variant>
        <vt:i4>5</vt:i4>
      </vt:variant>
      <vt:variant>
        <vt:lpwstr>https://zerowasteeurope.eu/wp-content/uploads/2020/07/2020_07_14_zwe_eeb_position-paper_harmonisation-of-waste-separate-collection_en.pdf</vt:lpwstr>
      </vt:variant>
      <vt:variant>
        <vt:lpwstr/>
      </vt:variant>
      <vt:variant>
        <vt:i4>3211364</vt:i4>
      </vt:variant>
      <vt:variant>
        <vt:i4>24</vt:i4>
      </vt:variant>
      <vt:variant>
        <vt:i4>0</vt:i4>
      </vt:variant>
      <vt:variant>
        <vt:i4>5</vt:i4>
      </vt:variant>
      <vt:variant>
        <vt:lpwstr>https://closetheglassloop.eu/wp-content/uploads/2023/10/HORECA-Study-vFINAL.pdf</vt:lpwstr>
      </vt:variant>
      <vt:variant>
        <vt:lpwstr/>
      </vt:variant>
      <vt:variant>
        <vt:i4>2555949</vt:i4>
      </vt:variant>
      <vt:variant>
        <vt:i4>21</vt:i4>
      </vt:variant>
      <vt:variant>
        <vt:i4>0</vt:i4>
      </vt:variant>
      <vt:variant>
        <vt:i4>5</vt:i4>
      </vt:variant>
      <vt:variant>
        <vt:lpwstr>https://circulareconomy.europa.eu/platform/en/news-and-events/all-news/eurostat-eus-circular-material-use-rate-rose-slightly-2022</vt:lpwstr>
      </vt:variant>
      <vt:variant>
        <vt:lpwstr>:~:text=In%202022%2C%20the%20EU%E2%80%99s%20circular%20material%20use%20rate,which%20came%20from%20recycled%20waste%20materials%29%20reached%2011.5%25.</vt:lpwstr>
      </vt:variant>
      <vt:variant>
        <vt:i4>589888</vt:i4>
      </vt:variant>
      <vt:variant>
        <vt:i4>18</vt:i4>
      </vt:variant>
      <vt:variant>
        <vt:i4>0</vt:i4>
      </vt:variant>
      <vt:variant>
        <vt:i4>5</vt:i4>
      </vt:variant>
      <vt:variant>
        <vt:lpwstr>https://www3.weforum.org/docs/WEF_How_to_Create_the_Sustainable_Travel_Products_Customers_Want_2022.pdf</vt:lpwstr>
      </vt:variant>
      <vt:variant>
        <vt:lpwstr/>
      </vt:variant>
      <vt:variant>
        <vt:i4>1704039</vt:i4>
      </vt:variant>
      <vt:variant>
        <vt:i4>15</vt:i4>
      </vt:variant>
      <vt:variant>
        <vt:i4>0</vt:i4>
      </vt:variant>
      <vt:variant>
        <vt:i4>5</vt:i4>
      </vt:variant>
      <vt:variant>
        <vt:lpwstr>RUG01-002274878_2016_0001_AC.pdf</vt:lpwstr>
      </vt:variant>
      <vt:variant>
        <vt:lpwstr/>
      </vt:variant>
      <vt:variant>
        <vt:i4>6946930</vt:i4>
      </vt:variant>
      <vt:variant>
        <vt:i4>12</vt:i4>
      </vt:variant>
      <vt:variant>
        <vt:i4>0</vt:i4>
      </vt:variant>
      <vt:variant>
        <vt:i4>5</vt:i4>
      </vt:variant>
      <vt:variant>
        <vt:lpwstr>https://hospitalityinsights.ehl.edu/hotel-sustainability-trends</vt:lpwstr>
      </vt:variant>
      <vt:variant>
        <vt:lpwstr/>
      </vt:variant>
      <vt:variant>
        <vt:i4>6946930</vt:i4>
      </vt:variant>
      <vt:variant>
        <vt:i4>9</vt:i4>
      </vt:variant>
      <vt:variant>
        <vt:i4>0</vt:i4>
      </vt:variant>
      <vt:variant>
        <vt:i4>5</vt:i4>
      </vt:variant>
      <vt:variant>
        <vt:lpwstr>https://hospitalityinsights.ehl.edu/hotel-sustainability-trends</vt:lpwstr>
      </vt:variant>
      <vt:variant>
        <vt:lpwstr/>
      </vt:variant>
      <vt:variant>
        <vt:i4>2424892</vt:i4>
      </vt:variant>
      <vt:variant>
        <vt:i4>6</vt:i4>
      </vt:variant>
      <vt:variant>
        <vt:i4>0</vt:i4>
      </vt:variant>
      <vt:variant>
        <vt:i4>5</vt:i4>
      </vt:variant>
      <vt:variant>
        <vt:lpwstr>https://researchhub.wttc.org/product/circular-economy-leading-circularity-in-travel-and-tourism</vt:lpwstr>
      </vt:variant>
      <vt:variant>
        <vt:lpwstr/>
      </vt:variant>
      <vt:variant>
        <vt:i4>7995500</vt:i4>
      </vt:variant>
      <vt:variant>
        <vt:i4>3</vt:i4>
      </vt:variant>
      <vt:variant>
        <vt:i4>0</vt:i4>
      </vt:variant>
      <vt:variant>
        <vt:i4>5</vt:i4>
      </vt:variant>
      <vt:variant>
        <vt:lpwstr>https://www.e-unwto.org/doi/book/10.18111/9789284419401</vt:lpwstr>
      </vt:variant>
      <vt:variant>
        <vt:lpwstr/>
      </vt:variant>
      <vt:variant>
        <vt:i4>2555932</vt:i4>
      </vt:variant>
      <vt:variant>
        <vt:i4>0</vt:i4>
      </vt:variant>
      <vt:variant>
        <vt:i4>0</vt:i4>
      </vt:variant>
      <vt:variant>
        <vt:i4>5</vt:i4>
      </vt:variant>
      <vt:variant>
        <vt:lpwstr>https://www.ellenmacarthurfoundation.org/topics/circular-economy-introduction/overview?gad_source=1&amp;gad_campaignid=18189424489&amp;gbraid=0AAAAACb4JAeOZbbPYmO_zhZOoJDRQDali</vt:lpwstr>
      </vt:variant>
      <vt:variant>
        <vt:lpwstr/>
      </vt:variant>
      <vt:variant>
        <vt:i4>1769550</vt:i4>
      </vt:variant>
      <vt:variant>
        <vt:i4>0</vt:i4>
      </vt:variant>
      <vt:variant>
        <vt:i4>0</vt:i4>
      </vt:variant>
      <vt:variant>
        <vt:i4>5</vt:i4>
      </vt:variant>
      <vt:variant>
        <vt:lpwstr>https://cdn.nimbu.io/s/zx3wipv/channelentries/mfrhyxr/files/1750317534553/advancing-sustainable-resource-management-with-the-circular-economy-act.pdf?mp3jsmu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Marine Thizon</dc:creator>
  <cp:keywords/>
  <dc:description/>
  <cp:lastModifiedBy>Marine Thizon</cp:lastModifiedBy>
  <cp:revision>2</cp:revision>
  <cp:lastPrinted>2025-08-26T09:37:00Z</cp:lastPrinted>
  <dcterms:created xsi:type="dcterms:W3CDTF">2025-08-26T10:17:00Z</dcterms:created>
  <dcterms:modified xsi:type="dcterms:W3CDTF">2025-08-26T10:17:00Z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0x0101007732F6093989E347A7B4AB2A587D2A58</vt:lpwstr>
  </property>
  <property fmtid="{D5CDD505-2E9C-101B-9397-08002B2CF9AE}" pid="3" name="MediaServiceImageTags">
    <vt:lpwstr/>
  </property>
</Properties>
</file>